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B9D0D6">
      <w:pPr>
        <w:spacing w:line="360" w:lineRule="auto"/>
        <w:jc w:val="both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>附件3</w:t>
      </w:r>
    </w:p>
    <w:p w14:paraId="3E44B5D0">
      <w:pPr>
        <w:spacing w:line="360" w:lineRule="auto"/>
        <w:jc w:val="both"/>
        <w:rPr>
          <w:rFonts w:hint="default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</w:p>
    <w:p w14:paraId="1CA1EA40">
      <w:pPr>
        <w:spacing w:line="360" w:lineRule="auto"/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成都杜甫草堂博物馆2026年“杜甫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val="en-US" w:eastAsia="zh-CN"/>
        </w:rPr>
        <w:t>‘川’行”文物主题游径（一期）服务采购项目需求</w:t>
      </w:r>
    </w:p>
    <w:p w14:paraId="0A8A4E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baseline"/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  <w:lang w:val="en-US" w:eastAsia="zh-CN"/>
        </w:rPr>
      </w:pPr>
    </w:p>
    <w:p w14:paraId="1E1E94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baseline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（一）游径研学相关物料设计排版及印刷制作：</w:t>
      </w:r>
    </w:p>
    <w:p w14:paraId="21B166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游径打卡宣传单设计应具有原创性和艺术审美性，利于传播且能突出文物游径特色，与成都杜甫草堂博物馆文化风格相协调。图文内容应与游径内涵、研学活动内容高度适配。</w:t>
      </w:r>
    </w:p>
    <w:p w14:paraId="190D25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游径打卡宣传单制作数量不少于800份，采用不小于120克特种纸。</w:t>
      </w:r>
    </w:p>
    <w:p w14:paraId="44F336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游径打卡宣传单应留存电子版，便于传播与收藏，根据采购人要求的指定时间运输至指定地点。</w:t>
      </w:r>
    </w:p>
    <w:p w14:paraId="3CDEF2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baseline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（二）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游径研学用具包设计与制作</w:t>
      </w:r>
    </w:p>
    <w:p w14:paraId="30C28AB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1.游径特色出行研学用具包设计应具有原创性，包含统一标识设计、行具包及装配设计，便携轻便，能青少年短途出行需求。</w:t>
      </w:r>
    </w:p>
    <w:p w14:paraId="6949A6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2.研学用具包制作数量不少于800个，包含双肩包、文具、马甲或帽子。</w:t>
      </w:r>
    </w:p>
    <w:p w14:paraId="56783C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3.研学用具包应根据采购人要求的指定时间运输至指定地点。</w:t>
      </w:r>
    </w:p>
    <w:p w14:paraId="21E04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baseline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（三）游径研学组织实施（含交通、餐食、保险等）</w:t>
      </w:r>
    </w:p>
    <w:p w14:paraId="0E1DF0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按计划完成不少于20场游径研学活动，每场活动参与人数为40人或20组家庭（一大一小），累计参与不少于800人次，活动实施区域应含成都市域内3个及以上区（市）县。</w:t>
      </w:r>
    </w:p>
    <w:p w14:paraId="35901F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除活动统筹组织外，还应保障研学活动中的交通、餐食、保险。须做到所涉单位资质符合标准、相关手续完整完备、参与人员规范合格。</w:t>
      </w:r>
    </w:p>
    <w:p w14:paraId="191B08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baseline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（四）拍摄录制及宣传视频制作</w:t>
      </w:r>
    </w:p>
    <w:p w14:paraId="696FA6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1.拍摄服务：含20场游径研学活动的图片直播、视频拍摄服务。每场活动</w:t>
      </w:r>
      <w:r>
        <w:rPr>
          <w:rFonts w:hint="eastAsia" w:ascii="宋体" w:hAnsi="宋体" w:cs="宋体"/>
          <w:sz w:val="28"/>
          <w:szCs w:val="28"/>
          <w:lang w:val="zh-CN" w:eastAsia="zh-CN"/>
        </w:rPr>
        <w:t>照片不少于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100张，</w:t>
      </w:r>
      <w:r>
        <w:rPr>
          <w:rFonts w:hint="eastAsia" w:ascii="宋体" w:hAnsi="宋体" w:cs="宋体"/>
          <w:sz w:val="28"/>
          <w:szCs w:val="28"/>
          <w:lang w:val="zh-CN" w:eastAsia="zh-CN"/>
        </w:rPr>
        <w:t>照片分辨率不低于 300dpi，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包含全景、近景、人物特写等，提交每张照片文件大小在4MB-6MB之间。</w:t>
      </w:r>
    </w:p>
    <w:p w14:paraId="2F8E41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视频剪辑：剪辑制作宣传视频2条（每条时长不短于1分钟）和宣传花絮4条（每条时长不短于30秒），内容需包含“杜甫‘川’行”（一期）游径线路和各点位的具体情况，视频画面优美，清晰度1080K及以上。符合成都杜甫草堂博物馆文化特性，适合大众传播，每一条均需制作横屏和竖屏两种播放版本。</w:t>
      </w:r>
    </w:p>
    <w:p w14:paraId="144AD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3.媒体报道：协助采购人进行媒体宣传报道，提供高质量活动新闻稿不少于1篇，宣传需覆盖至少2家央级媒体。</w:t>
      </w:r>
    </w:p>
    <w:p w14:paraId="2C39FD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baseline"/>
        <w:rPr>
          <w:rFonts w:hint="eastAsia" w:ascii="宋体" w:hAnsi="宋体" w:cs="宋体"/>
          <w:b/>
          <w:bCs/>
          <w:sz w:val="28"/>
          <w:szCs w:val="28"/>
          <w:lang w:val="zh-CN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（五）</w:t>
      </w:r>
      <w:r>
        <w:rPr>
          <w:rFonts w:hint="eastAsia" w:ascii="宋体" w:hAnsi="宋体" w:cs="宋体"/>
          <w:b/>
          <w:bCs/>
          <w:sz w:val="28"/>
          <w:szCs w:val="28"/>
          <w:lang w:val="zh-CN" w:eastAsia="zh-CN"/>
        </w:rPr>
        <w:t>活动满意度调查</w:t>
      </w:r>
    </w:p>
    <w:p w14:paraId="2590F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baseline"/>
        <w:rPr>
          <w:rFonts w:hint="eastAsia" w:ascii="宋体" w:hAnsi="宋体" w:cs="宋体"/>
          <w:sz w:val="28"/>
          <w:szCs w:val="28"/>
          <w:lang w:val="zh-CN" w:eastAsia="zh-CN"/>
        </w:rPr>
      </w:pPr>
      <w:r>
        <w:rPr>
          <w:rFonts w:hint="eastAsia" w:ascii="宋体" w:hAnsi="宋体" w:cs="宋体"/>
          <w:sz w:val="28"/>
          <w:szCs w:val="28"/>
          <w:lang w:val="zh-CN" w:eastAsia="zh-CN"/>
        </w:rPr>
        <w:t>活动过程中开展活动满意度调查，发放并回收有效满意度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调研问卷</w:t>
      </w:r>
      <w:r>
        <w:rPr>
          <w:rFonts w:hint="eastAsia" w:ascii="宋体" w:hAnsi="宋体" w:cs="宋体"/>
          <w:sz w:val="28"/>
          <w:szCs w:val="28"/>
          <w:lang w:val="zh-CN" w:eastAsia="zh-CN"/>
        </w:rPr>
        <w:t>不少于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</w:t>
      </w:r>
      <w:r>
        <w:rPr>
          <w:rFonts w:hint="eastAsia" w:ascii="宋体" w:hAnsi="宋体" w:cs="宋体"/>
          <w:sz w:val="28"/>
          <w:szCs w:val="28"/>
          <w:lang w:val="zh-CN" w:eastAsia="zh-CN"/>
        </w:rPr>
        <w:t>0份，并对调查结果进行分析。</w:t>
      </w:r>
    </w:p>
    <w:p w14:paraId="5DF27B79">
      <w:pPr>
        <w:rPr>
          <w:rFonts w:hint="eastAsia"/>
          <w:lang w:val="en-US" w:eastAsia="zh-CN"/>
        </w:rPr>
      </w:pPr>
    </w:p>
    <w:p w14:paraId="61B68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项目完成后，提交项目所有过程及成果材料的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highlight w:val="none"/>
          <w:lang w:val="en-US" w:eastAsia="zh-CN"/>
        </w:rPr>
        <w:t>电子版与纸质版。</w:t>
      </w:r>
    </w:p>
    <w:p w14:paraId="60F4207D">
      <w:pPr>
        <w:pStyle w:val="2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96479CB-7BEC-4353-9A28-82E472C5139D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FD5C5564-980A-4914-83DE-01252AE32D2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FC20E0"/>
    <w:rsid w:val="0DD952D9"/>
    <w:rsid w:val="0F0B20D8"/>
    <w:rsid w:val="442556EA"/>
    <w:rsid w:val="4BFC20E0"/>
    <w:rsid w:val="569C2EC3"/>
    <w:rsid w:val="78D2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customStyle="1" w:styleId="5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859</Words>
  <Characters>900</Characters>
  <Lines>0</Lines>
  <Paragraphs>0</Paragraphs>
  <TotalTime>4</TotalTime>
  <ScaleCrop>false</ScaleCrop>
  <LinksUpToDate>false</LinksUpToDate>
  <CharactersWithSpaces>901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2026-05-09T08:55:00Z</dcterms:created>
  <dc:creator>水草</dc:creator>
  <cp:lastModifiedBy>水草</cp:lastModifiedBy>
  <dcterms:modified xsi:type="dcterms:W3CDTF">2026-09-22T02:10:31Z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16F526BA700E431BBF3EDD918424C932_13</vt:lpwstr>
  </property>
  <property fmtid="{D5CDD505-2E9C-101B-9397-08002B2CF9AE}" pid="4" name="KSOTemplateDocerSaveRecord">
    <vt:lpwstr>eyJoZGlkIjoiOTEyYTczOGExYTNkYzMwZDQyZGY5ZWUzZGM4NDgzNTUiLCJ1c2VySWQiOiI0ODY3Njc2OTMifQ==</vt:lpwstr>
  </property>
</Properties>
</file>