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heme="minorEastAsia" w:hAnsiTheme="minorEastAsia" w:cstheme="minorEastAsia"/>
          <w:b/>
          <w:bCs/>
          <w:sz w:val="24"/>
        </w:rPr>
      </w:pPr>
      <w:r>
        <w:rPr>
          <w:rFonts w:hint="eastAsia" w:asciiTheme="minorEastAsia" w:hAnsiTheme="minorEastAsia" w:cstheme="minorEastAsia"/>
          <w:b/>
          <w:bCs/>
          <w:sz w:val="24"/>
        </w:rPr>
        <w:t>附件：《报价函格式》</w:t>
      </w:r>
    </w:p>
    <w:p>
      <w:pPr>
        <w:spacing w:line="360" w:lineRule="auto"/>
        <w:jc w:val="center"/>
        <w:rPr>
          <w:rFonts w:hint="eastAsia" w:asciiTheme="majorEastAsia" w:hAnsiTheme="majorEastAsia" w:eastAsiaTheme="majorEastAsia" w:cstheme="majorEastAsia"/>
          <w:sz w:val="36"/>
          <w:szCs w:val="36"/>
          <w:lang w:val="en-US" w:eastAsia="zh-CN"/>
        </w:rPr>
      </w:pPr>
      <w:r>
        <w:rPr>
          <w:rFonts w:hint="eastAsia" w:asciiTheme="majorEastAsia" w:hAnsiTheme="majorEastAsia" w:eastAsiaTheme="majorEastAsia" w:cstheme="majorEastAsia"/>
          <w:sz w:val="32"/>
          <w:szCs w:val="32"/>
        </w:rPr>
        <w:t>一、</w:t>
      </w:r>
      <w:r>
        <w:rPr>
          <w:rFonts w:hint="eastAsia" w:ascii="宋体" w:hAnsi="宋体" w:eastAsia="宋体" w:cs="宋体"/>
          <w:sz w:val="36"/>
          <w:szCs w:val="36"/>
        </w:rPr>
        <w:t>关于成都杜甫草堂博物馆2026年南门地下停车场消防系统设施维修工程项目监理服务</w:t>
      </w:r>
      <w:r>
        <w:rPr>
          <w:rFonts w:hint="eastAsia" w:ascii="宋体" w:hAnsi="宋体" w:eastAsia="宋体" w:cs="宋体"/>
          <w:sz w:val="36"/>
          <w:szCs w:val="36"/>
          <w:lang w:val="en-US" w:eastAsia="zh-CN"/>
        </w:rPr>
        <w:t>报价函</w:t>
      </w:r>
    </w:p>
    <w:p>
      <w:pPr>
        <w:spacing w:line="360" w:lineRule="auto"/>
        <w:jc w:val="left"/>
        <w:rPr>
          <w:rFonts w:hint="eastAsia" w:ascii="宋体" w:hAnsi="宋体" w:cs="宋体"/>
          <w:b/>
          <w:bCs/>
          <w:sz w:val="24"/>
        </w:rPr>
      </w:pPr>
      <w:r>
        <w:rPr>
          <w:rFonts w:hint="eastAsia" w:ascii="宋体" w:hAnsi="宋体" w:cs="宋体"/>
          <w:b/>
          <w:bCs/>
          <w:sz w:val="24"/>
        </w:rPr>
        <w:t>致：成都杜甫草堂博物馆</w:t>
      </w:r>
    </w:p>
    <w:p>
      <w:pPr>
        <w:spacing w:line="360" w:lineRule="auto"/>
        <w:ind w:firstLine="480" w:firstLineChars="200"/>
        <w:jc w:val="left"/>
        <w:rPr>
          <w:rFonts w:hint="eastAsia" w:ascii="宋体" w:hAnsi="宋体" w:cs="宋体"/>
          <w:sz w:val="24"/>
        </w:rPr>
      </w:pPr>
      <w:r>
        <w:rPr>
          <w:rFonts w:hint="eastAsia" w:ascii="宋体" w:hAnsi="宋体" w:cs="宋体"/>
          <w:sz w:val="24"/>
        </w:rPr>
        <w:t>我司已仔细阅读询价函，已知悉该项目服务内容及要求，现决定参与本次报价，并承诺：若有幸成交，将严格履行询价函要求的全部服务内容和有关事项。</w:t>
      </w:r>
    </w:p>
    <w:p>
      <w:pPr>
        <w:spacing w:line="360" w:lineRule="auto"/>
        <w:ind w:firstLine="480" w:firstLineChars="200"/>
        <w:jc w:val="left"/>
        <w:rPr>
          <w:rFonts w:hint="eastAsia" w:ascii="宋体" w:hAnsi="宋体" w:cs="宋体"/>
          <w:sz w:val="24"/>
        </w:rPr>
      </w:pPr>
      <w:r>
        <w:rPr>
          <w:rFonts w:hint="eastAsia" w:ascii="宋体" w:hAnsi="宋体" w:cs="宋体"/>
          <w:sz w:val="24"/>
        </w:rPr>
        <w:t>报价如下：</w:t>
      </w:r>
    </w:p>
    <w:tbl>
      <w:tblPr>
        <w:tblStyle w:val="4"/>
        <w:tblW w:w="604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112"/>
        <w:gridCol w:w="1235"/>
        <w:gridCol w:w="1040"/>
        <w:gridCol w:w="2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74" w:type="dxa"/>
            <w:noWrap w:val="0"/>
            <w:vAlign w:val="center"/>
          </w:tcPr>
          <w:p>
            <w:pPr>
              <w:spacing w:line="360" w:lineRule="auto"/>
              <w:jc w:val="center"/>
              <w:rPr>
                <w:rFonts w:hint="eastAsia" w:ascii="宋体" w:hAnsi="宋体" w:cs="宋体"/>
                <w:sz w:val="24"/>
              </w:rPr>
            </w:pPr>
            <w:r>
              <w:rPr>
                <w:rFonts w:hint="eastAsia" w:ascii="宋体" w:hAnsi="宋体" w:cs="宋体"/>
                <w:sz w:val="24"/>
              </w:rPr>
              <w:t>序号</w:t>
            </w:r>
          </w:p>
        </w:tc>
        <w:tc>
          <w:tcPr>
            <w:tcW w:w="1112" w:type="dxa"/>
            <w:noWrap w:val="0"/>
            <w:vAlign w:val="center"/>
          </w:tcPr>
          <w:p>
            <w:pPr>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供应商单位名称</w:t>
            </w:r>
          </w:p>
        </w:tc>
        <w:tc>
          <w:tcPr>
            <w:tcW w:w="1235" w:type="dxa"/>
            <w:noWrap w:val="0"/>
            <w:vAlign w:val="center"/>
          </w:tcPr>
          <w:p>
            <w:pPr>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服务项目名称</w:t>
            </w:r>
          </w:p>
        </w:tc>
        <w:tc>
          <w:tcPr>
            <w:tcW w:w="1040" w:type="dxa"/>
            <w:noWrap w:val="0"/>
            <w:vAlign w:val="center"/>
          </w:tcPr>
          <w:p>
            <w:pPr>
              <w:spacing w:line="360" w:lineRule="auto"/>
              <w:jc w:val="center"/>
              <w:rPr>
                <w:rFonts w:hint="default" w:ascii="宋体" w:hAnsi="宋体" w:cs="宋体"/>
                <w:sz w:val="24"/>
                <w:lang w:val="en-US"/>
              </w:rPr>
            </w:pPr>
            <w:r>
              <w:rPr>
                <w:rFonts w:hint="eastAsia" w:ascii="宋体" w:hAnsi="宋体" w:cs="宋体"/>
                <w:sz w:val="24"/>
                <w:lang w:val="en-US" w:eastAsia="zh-CN"/>
              </w:rPr>
              <w:t>委托业务服务费用（元）</w:t>
            </w:r>
          </w:p>
        </w:tc>
        <w:tc>
          <w:tcPr>
            <w:tcW w:w="2080" w:type="dxa"/>
            <w:noWrap w:val="0"/>
            <w:vAlign w:val="center"/>
          </w:tcPr>
          <w:p>
            <w:pPr>
              <w:spacing w:line="360" w:lineRule="auto"/>
              <w:jc w:val="center"/>
              <w:rPr>
                <w:rFonts w:hint="eastAsia" w:ascii="宋体" w:hAnsi="宋体" w:eastAsia="宋体" w:cs="宋体"/>
                <w:sz w:val="24"/>
                <w:lang w:eastAsia="zh-CN"/>
              </w:rPr>
            </w:pPr>
            <w:r>
              <w:rPr>
                <w:rFonts w:hint="eastAsia" w:ascii="宋体" w:hAnsi="宋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74" w:type="dxa"/>
            <w:noWrap w:val="0"/>
            <w:vAlign w:val="center"/>
          </w:tcPr>
          <w:p>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1</w:t>
            </w:r>
          </w:p>
        </w:tc>
        <w:tc>
          <w:tcPr>
            <w:tcW w:w="1112" w:type="dxa"/>
            <w:noWrap w:val="0"/>
            <w:vAlign w:val="center"/>
          </w:tcPr>
          <w:p>
            <w:pPr>
              <w:spacing w:line="360" w:lineRule="auto"/>
              <w:jc w:val="both"/>
              <w:rPr>
                <w:rFonts w:hint="eastAsia" w:ascii="宋体" w:hAnsi="宋体" w:cs="宋体"/>
                <w:sz w:val="24"/>
                <w:lang w:val="en-US" w:eastAsia="zh-CN"/>
              </w:rPr>
            </w:pPr>
          </w:p>
        </w:tc>
        <w:tc>
          <w:tcPr>
            <w:tcW w:w="1235" w:type="dxa"/>
            <w:noWrap w:val="0"/>
            <w:vAlign w:val="center"/>
          </w:tcPr>
          <w:p>
            <w:pPr>
              <w:spacing w:line="360" w:lineRule="auto"/>
              <w:jc w:val="center"/>
              <w:rPr>
                <w:rFonts w:hint="eastAsia" w:ascii="宋体" w:hAnsi="宋体" w:cs="宋体"/>
                <w:sz w:val="24"/>
              </w:rPr>
            </w:pPr>
            <w:r>
              <w:rPr>
                <w:rFonts w:hint="eastAsia" w:ascii="方正仿宋_GBK" w:hAnsi="方正仿宋_GBK" w:eastAsia="方正仿宋_GBK" w:cs="方正仿宋_GBK"/>
                <w:sz w:val="24"/>
                <w:szCs w:val="24"/>
              </w:rPr>
              <w:t>成都杜甫草堂博物馆南门地下停车场消防维修项目监理服务</w:t>
            </w:r>
          </w:p>
        </w:tc>
        <w:tc>
          <w:tcPr>
            <w:tcW w:w="1040" w:type="dxa"/>
            <w:noWrap w:val="0"/>
            <w:vAlign w:val="center"/>
          </w:tcPr>
          <w:p>
            <w:pPr>
              <w:spacing w:line="360" w:lineRule="auto"/>
              <w:jc w:val="center"/>
              <w:rPr>
                <w:rFonts w:hint="eastAsia" w:ascii="宋体" w:hAnsi="宋体" w:cs="宋体"/>
                <w:sz w:val="24"/>
                <w:lang w:val="en-US" w:eastAsia="zh-CN"/>
              </w:rPr>
            </w:pPr>
          </w:p>
        </w:tc>
        <w:tc>
          <w:tcPr>
            <w:tcW w:w="2080" w:type="dxa"/>
            <w:noWrap w:val="0"/>
            <w:vAlign w:val="center"/>
          </w:tcPr>
          <w:p>
            <w:pPr>
              <w:spacing w:line="360" w:lineRule="auto"/>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74" w:type="dxa"/>
            <w:noWrap w:val="0"/>
            <w:vAlign w:val="center"/>
          </w:tcPr>
          <w:p>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1112" w:type="dxa"/>
            <w:noWrap w:val="0"/>
            <w:vAlign w:val="center"/>
          </w:tcPr>
          <w:p>
            <w:pPr>
              <w:spacing w:line="360" w:lineRule="auto"/>
              <w:jc w:val="both"/>
              <w:rPr>
                <w:rFonts w:hint="eastAsia" w:ascii="宋体" w:hAnsi="宋体" w:cs="宋体"/>
                <w:sz w:val="24"/>
                <w:lang w:val="en-US" w:eastAsia="zh-CN"/>
              </w:rPr>
            </w:pPr>
          </w:p>
        </w:tc>
        <w:tc>
          <w:tcPr>
            <w:tcW w:w="1235" w:type="dxa"/>
            <w:noWrap w:val="0"/>
            <w:vAlign w:val="center"/>
          </w:tcPr>
          <w:p>
            <w:pPr>
              <w:spacing w:line="360" w:lineRule="auto"/>
              <w:jc w:val="center"/>
              <w:rPr>
                <w:rFonts w:hint="eastAsia" w:ascii="宋体" w:hAnsi="宋体" w:cs="宋体"/>
                <w:sz w:val="24"/>
              </w:rPr>
            </w:pPr>
          </w:p>
        </w:tc>
        <w:tc>
          <w:tcPr>
            <w:tcW w:w="1040" w:type="dxa"/>
            <w:noWrap w:val="0"/>
            <w:vAlign w:val="center"/>
          </w:tcPr>
          <w:p>
            <w:pPr>
              <w:spacing w:line="360" w:lineRule="auto"/>
              <w:jc w:val="center"/>
              <w:rPr>
                <w:rFonts w:hint="eastAsia" w:ascii="宋体" w:hAnsi="宋体" w:cs="宋体"/>
                <w:sz w:val="24"/>
                <w:lang w:val="en-US" w:eastAsia="zh-CN"/>
              </w:rPr>
            </w:pPr>
          </w:p>
        </w:tc>
        <w:tc>
          <w:tcPr>
            <w:tcW w:w="2080" w:type="dxa"/>
            <w:noWrap w:val="0"/>
            <w:vAlign w:val="center"/>
          </w:tcPr>
          <w:p>
            <w:pPr>
              <w:spacing w:line="360" w:lineRule="auto"/>
              <w:jc w:val="cente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74" w:type="dxa"/>
            <w:noWrap w:val="0"/>
            <w:vAlign w:val="center"/>
          </w:tcPr>
          <w:p>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3</w:t>
            </w:r>
          </w:p>
        </w:tc>
        <w:tc>
          <w:tcPr>
            <w:tcW w:w="1112" w:type="dxa"/>
            <w:noWrap w:val="0"/>
            <w:vAlign w:val="center"/>
          </w:tcPr>
          <w:p>
            <w:pPr>
              <w:spacing w:line="360" w:lineRule="auto"/>
              <w:jc w:val="both"/>
              <w:rPr>
                <w:rFonts w:hint="eastAsia" w:ascii="宋体" w:hAnsi="宋体" w:cs="宋体"/>
                <w:sz w:val="24"/>
                <w:lang w:val="en-US" w:eastAsia="zh-CN"/>
              </w:rPr>
            </w:pPr>
          </w:p>
        </w:tc>
        <w:tc>
          <w:tcPr>
            <w:tcW w:w="1235" w:type="dxa"/>
            <w:noWrap w:val="0"/>
            <w:vAlign w:val="center"/>
          </w:tcPr>
          <w:p>
            <w:pPr>
              <w:spacing w:line="360" w:lineRule="auto"/>
              <w:jc w:val="center"/>
              <w:rPr>
                <w:rFonts w:hint="eastAsia" w:ascii="宋体" w:hAnsi="宋体" w:cs="宋体"/>
                <w:sz w:val="24"/>
              </w:rPr>
            </w:pPr>
          </w:p>
        </w:tc>
        <w:tc>
          <w:tcPr>
            <w:tcW w:w="1040" w:type="dxa"/>
            <w:noWrap w:val="0"/>
            <w:vAlign w:val="center"/>
          </w:tcPr>
          <w:p>
            <w:pPr>
              <w:spacing w:line="360" w:lineRule="auto"/>
              <w:jc w:val="center"/>
              <w:rPr>
                <w:rFonts w:hint="eastAsia" w:ascii="宋体" w:hAnsi="宋体" w:cs="宋体"/>
                <w:sz w:val="24"/>
                <w:lang w:val="en-US" w:eastAsia="zh-CN"/>
              </w:rPr>
            </w:pPr>
          </w:p>
        </w:tc>
        <w:tc>
          <w:tcPr>
            <w:tcW w:w="2080" w:type="dxa"/>
            <w:noWrap w:val="0"/>
            <w:vAlign w:val="center"/>
          </w:tcPr>
          <w:p>
            <w:pPr>
              <w:spacing w:line="360" w:lineRule="auto"/>
              <w:jc w:val="center"/>
              <w:rPr>
                <w:rFonts w:hint="eastAsia" w:ascii="宋体" w:hAnsi="宋体" w:cs="宋体"/>
                <w:sz w:val="24"/>
              </w:rPr>
            </w:pPr>
          </w:p>
        </w:tc>
      </w:tr>
    </w:tbl>
    <w:p>
      <w:pPr>
        <w:spacing w:line="360" w:lineRule="auto"/>
        <w:jc w:val="left"/>
        <w:rPr>
          <w:rFonts w:hint="eastAsia" w:ascii="宋体" w:hAnsi="宋体" w:cs="宋体"/>
          <w:sz w:val="24"/>
        </w:rPr>
      </w:pPr>
    </w:p>
    <w:p>
      <w:pPr>
        <w:spacing w:line="360" w:lineRule="auto"/>
        <w:jc w:val="left"/>
        <w:rPr>
          <w:rFonts w:hint="eastAsia" w:ascii="宋体" w:hAnsi="宋体" w:cs="宋体"/>
          <w:sz w:val="24"/>
        </w:rPr>
      </w:pPr>
      <w:r>
        <w:rPr>
          <w:rFonts w:hint="eastAsia" w:ascii="宋体" w:hAnsi="宋体" w:cs="宋体"/>
          <w:sz w:val="24"/>
        </w:rPr>
        <w:t>注：</w:t>
      </w:r>
    </w:p>
    <w:p>
      <w:pPr>
        <w:numPr>
          <w:ilvl w:val="0"/>
          <w:numId w:val="1"/>
        </w:numPr>
        <w:spacing w:line="360" w:lineRule="auto"/>
        <w:jc w:val="left"/>
        <w:rPr>
          <w:rFonts w:hint="eastAsia" w:ascii="宋体" w:hAnsi="宋体" w:cs="宋体"/>
          <w:sz w:val="24"/>
        </w:rPr>
      </w:pPr>
      <w:r>
        <w:rPr>
          <w:rFonts w:hint="eastAsia" w:ascii="宋体" w:hAnsi="宋体" w:cs="宋体"/>
          <w:sz w:val="24"/>
        </w:rPr>
        <w:t>最高限价人民币</w:t>
      </w:r>
      <w:r>
        <w:rPr>
          <w:rFonts w:hint="eastAsia" w:ascii="宋体" w:hAnsi="宋体" w:cs="宋体"/>
          <w:sz w:val="24"/>
          <w:lang w:val="en-US" w:eastAsia="zh-CN"/>
        </w:rPr>
        <w:t>22087</w:t>
      </w:r>
      <w:r>
        <w:rPr>
          <w:rFonts w:hint="eastAsia" w:ascii="宋体" w:hAnsi="宋体" w:cs="宋体"/>
          <w:sz w:val="24"/>
        </w:rPr>
        <w:t>元（人民币</w:t>
      </w:r>
      <w:r>
        <w:rPr>
          <w:rFonts w:hint="eastAsia" w:ascii="宋体" w:hAnsi="宋体" w:cs="宋体"/>
          <w:sz w:val="24"/>
          <w:lang w:val="en-US" w:eastAsia="zh-CN"/>
        </w:rPr>
        <w:t>贰万贰仟零捌拾柒元整）</w:t>
      </w:r>
      <w:bookmarkStart w:id="0" w:name="_GoBack"/>
      <w:bookmarkEnd w:id="0"/>
      <w:r>
        <w:rPr>
          <w:rFonts w:hint="eastAsia" w:ascii="宋体" w:hAnsi="宋体" w:cs="宋体"/>
          <w:sz w:val="24"/>
        </w:rPr>
        <w:t>，高于则报价无效；</w:t>
      </w:r>
      <w:r>
        <w:rPr>
          <w:rFonts w:hint="eastAsia" w:ascii="宋体" w:hAnsi="宋体" w:cs="宋体"/>
          <w:sz w:val="24"/>
          <w:lang w:val="en-US" w:eastAsia="zh-CN"/>
        </w:rPr>
        <w:t>包括成都杜甫草堂博物馆2026年南门地下停车场消防系统设施维修工程采购项目实施内容在维修项⽬实施过程中开展监理服务⼯作</w:t>
      </w:r>
      <w:r>
        <w:rPr>
          <w:rFonts w:hint="eastAsia" w:ascii="宋体" w:hAnsi="宋体" w:cs="宋体"/>
          <w:color w:val="auto"/>
          <w:sz w:val="24"/>
        </w:rPr>
        <w:t>及税金等完成本服务项目的全部费用</w:t>
      </w:r>
      <w:r>
        <w:rPr>
          <w:rFonts w:hint="eastAsia" w:ascii="宋体" w:hAnsi="宋体" w:cs="宋体"/>
          <w:sz w:val="24"/>
        </w:rPr>
        <w:t>。</w:t>
      </w:r>
    </w:p>
    <w:p>
      <w:pPr>
        <w:numPr>
          <w:ilvl w:val="0"/>
          <w:numId w:val="1"/>
        </w:numPr>
        <w:spacing w:line="360" w:lineRule="auto"/>
        <w:jc w:val="left"/>
        <w:rPr>
          <w:rFonts w:hint="eastAsia" w:ascii="宋体" w:hAnsi="宋体" w:cs="宋体"/>
          <w:sz w:val="24"/>
        </w:rPr>
      </w:pPr>
      <w:r>
        <w:rPr>
          <w:rFonts w:hint="eastAsia" w:ascii="宋体" w:hAnsi="宋体" w:cs="宋体"/>
          <w:sz w:val="24"/>
        </w:rPr>
        <w:t>询价人有权自主选择合理低价的报价方成交，提交报价即视为同意。</w:t>
      </w:r>
    </w:p>
    <w:p>
      <w:pPr>
        <w:numPr>
          <w:ilvl w:val="0"/>
          <w:numId w:val="1"/>
        </w:numPr>
        <w:spacing w:line="360" w:lineRule="auto"/>
        <w:jc w:val="left"/>
        <w:rPr>
          <w:rFonts w:hint="eastAsia" w:ascii="宋体" w:hAnsi="宋体" w:cs="宋体"/>
          <w:sz w:val="24"/>
          <w:highlight w:val="yellow"/>
        </w:rPr>
      </w:pPr>
      <w:r>
        <w:rPr>
          <w:rFonts w:hint="eastAsia" w:ascii="宋体" w:hAnsi="宋体" w:cs="宋体"/>
          <w:sz w:val="24"/>
          <w:highlight w:val="yellow"/>
        </w:rPr>
        <w:t>此报价函请于2026年0</w:t>
      </w:r>
      <w:r>
        <w:rPr>
          <w:rFonts w:hint="eastAsia" w:ascii="宋体" w:hAnsi="宋体" w:cs="宋体"/>
          <w:sz w:val="24"/>
          <w:highlight w:val="yellow"/>
          <w:lang w:val="en-US" w:eastAsia="zh-CN"/>
        </w:rPr>
        <w:t>9</w:t>
      </w:r>
      <w:r>
        <w:rPr>
          <w:rFonts w:hint="eastAsia" w:ascii="宋体" w:hAnsi="宋体" w:cs="宋体"/>
          <w:sz w:val="24"/>
          <w:highlight w:val="yellow"/>
        </w:rPr>
        <w:t>月</w:t>
      </w:r>
      <w:r>
        <w:rPr>
          <w:rFonts w:hint="eastAsia" w:ascii="宋体" w:hAnsi="宋体" w:cs="宋体"/>
          <w:sz w:val="24"/>
          <w:highlight w:val="yellow"/>
          <w:lang w:val="en-US" w:eastAsia="zh-CN"/>
        </w:rPr>
        <w:t>30</w:t>
      </w:r>
      <w:r>
        <w:rPr>
          <w:rFonts w:hint="eastAsia" w:ascii="宋体" w:hAnsi="宋体" w:cs="宋体"/>
          <w:sz w:val="24"/>
          <w:highlight w:val="yellow"/>
        </w:rPr>
        <w:t>日前送至询价人处。</w:t>
      </w:r>
    </w:p>
    <w:p>
      <w:pPr>
        <w:numPr>
          <w:ilvl w:val="0"/>
          <w:numId w:val="1"/>
        </w:numPr>
        <w:spacing w:line="360" w:lineRule="auto"/>
        <w:jc w:val="left"/>
        <w:rPr>
          <w:rFonts w:hint="eastAsia" w:ascii="宋体" w:hAnsi="宋体" w:cs="宋体"/>
          <w:sz w:val="24"/>
        </w:rPr>
      </w:pPr>
      <w:r>
        <w:rPr>
          <w:rFonts w:hint="eastAsia" w:ascii="宋体" w:hAnsi="宋体" w:cs="宋体"/>
          <w:sz w:val="24"/>
        </w:rPr>
        <w:t>联系电话：</w:t>
      </w:r>
      <w:r>
        <w:rPr>
          <w:rFonts w:hint="eastAsia" w:ascii="宋体" w:hAnsi="宋体" w:cs="宋体"/>
          <w:sz w:val="24"/>
          <w:lang w:val="en-US" w:eastAsia="zh-CN"/>
        </w:rPr>
        <w:t>18215592151    电子邮箱378826144@qq.com</w:t>
      </w:r>
    </w:p>
    <w:p>
      <w:pPr>
        <w:numPr>
          <w:ilvl w:val="0"/>
          <w:numId w:val="1"/>
        </w:numPr>
        <w:spacing w:line="360" w:lineRule="auto"/>
        <w:jc w:val="left"/>
        <w:rPr>
          <w:rFonts w:hint="eastAsia" w:ascii="宋体" w:hAnsi="宋体" w:cs="宋体"/>
          <w:sz w:val="24"/>
        </w:rPr>
      </w:pPr>
      <w:r>
        <w:rPr>
          <w:rFonts w:hint="eastAsia" w:ascii="宋体" w:hAnsi="宋体" w:cs="宋体"/>
          <w:sz w:val="24"/>
        </w:rPr>
        <w:t>地址：成都市青羊区</w:t>
      </w:r>
      <w:r>
        <w:rPr>
          <w:rFonts w:hint="eastAsia" w:ascii="宋体" w:hAnsi="宋体" w:cs="宋体"/>
          <w:sz w:val="24"/>
          <w:lang w:val="en-US" w:eastAsia="zh-CN"/>
        </w:rPr>
        <w:t>草堂路2</w:t>
      </w:r>
      <w:r>
        <w:rPr>
          <w:rFonts w:hint="eastAsia" w:ascii="宋体" w:hAnsi="宋体" w:cs="宋体"/>
          <w:sz w:val="24"/>
        </w:rPr>
        <w:t>号</w:t>
      </w:r>
    </w:p>
    <w:p>
      <w:pPr>
        <w:numPr>
          <w:ilvl w:val="0"/>
          <w:numId w:val="1"/>
        </w:numPr>
        <w:spacing w:line="360" w:lineRule="auto"/>
        <w:jc w:val="left"/>
        <w:rPr>
          <w:rFonts w:hint="eastAsia" w:ascii="宋体" w:hAnsi="宋体" w:cs="宋体"/>
          <w:sz w:val="24"/>
        </w:rPr>
      </w:pPr>
      <w:r>
        <w:rPr>
          <w:rFonts w:hint="eastAsia" w:ascii="宋体" w:hAnsi="宋体" w:cs="宋体"/>
          <w:sz w:val="24"/>
        </w:rPr>
        <w:t>本函最终解释权归成都杜甫草堂博物馆所有。</w:t>
      </w:r>
    </w:p>
    <w:p>
      <w:pPr>
        <w:spacing w:line="360" w:lineRule="auto"/>
        <w:jc w:val="left"/>
        <w:rPr>
          <w:rFonts w:hint="eastAsia" w:ascii="宋体" w:hAnsi="宋体" w:cs="宋体"/>
          <w:b/>
          <w:bCs/>
          <w:sz w:val="24"/>
        </w:rPr>
      </w:pPr>
    </w:p>
    <w:p>
      <w:pPr>
        <w:spacing w:line="360" w:lineRule="auto"/>
        <w:ind w:firstLine="3614" w:firstLineChars="1500"/>
        <w:jc w:val="left"/>
        <w:rPr>
          <w:rFonts w:hint="eastAsia" w:ascii="宋体" w:hAnsi="宋体" w:cs="宋体"/>
          <w:b/>
          <w:bCs/>
          <w:sz w:val="24"/>
        </w:rPr>
      </w:pPr>
      <w:r>
        <w:rPr>
          <w:rFonts w:hint="eastAsia" w:ascii="宋体" w:hAnsi="宋体" w:cs="宋体"/>
          <w:b/>
          <w:bCs/>
          <w:sz w:val="24"/>
        </w:rPr>
        <w:t>报价人：               （盖单位公章）</w:t>
      </w:r>
    </w:p>
    <w:p>
      <w:pPr>
        <w:spacing w:line="360" w:lineRule="auto"/>
        <w:ind w:firstLine="3614" w:firstLineChars="1500"/>
        <w:jc w:val="left"/>
        <w:rPr>
          <w:rFonts w:hint="eastAsia" w:ascii="宋体" w:hAnsi="宋体" w:cs="宋体"/>
          <w:b/>
          <w:bCs/>
          <w:sz w:val="24"/>
        </w:rPr>
      </w:pPr>
      <w:r>
        <w:rPr>
          <w:rFonts w:hint="eastAsia" w:ascii="宋体" w:hAnsi="宋体" w:cs="宋体"/>
          <w:b/>
          <w:bCs/>
          <w:sz w:val="24"/>
        </w:rPr>
        <w:t>法定代表人或授权代表（签字或签章）：</w:t>
      </w:r>
    </w:p>
    <w:p>
      <w:pPr>
        <w:spacing w:line="360" w:lineRule="auto"/>
        <w:ind w:firstLine="3614" w:firstLineChars="1500"/>
        <w:jc w:val="left"/>
        <w:rPr>
          <w:rFonts w:hint="eastAsia" w:ascii="宋体" w:hAnsi="宋体" w:cs="宋体"/>
          <w:b/>
          <w:bCs/>
          <w:sz w:val="24"/>
        </w:rPr>
      </w:pPr>
      <w:r>
        <w:rPr>
          <w:rFonts w:hint="eastAsia" w:ascii="宋体" w:hAnsi="宋体" w:cs="宋体"/>
          <w:b/>
          <w:bCs/>
          <w:sz w:val="24"/>
        </w:rPr>
        <w:t>报价日期：     年   月   日</w:t>
      </w:r>
    </w:p>
    <w:p>
      <w:pPr>
        <w:rPr>
          <w:rFonts w:hint="eastAsia" w:ascii="宋体" w:hAnsi="宋体" w:cs="宋体"/>
          <w:b/>
          <w:bCs/>
          <w:sz w:val="24"/>
        </w:rPr>
      </w:pPr>
      <w:r>
        <w:rPr>
          <w:rFonts w:hint="eastAsia" w:ascii="宋体" w:hAnsi="宋体" w:cs="宋体"/>
          <w:b/>
          <w:bCs/>
          <w:sz w:val="24"/>
        </w:rPr>
        <w:br w:type="page"/>
      </w:r>
    </w:p>
    <w:p>
      <w:pPr>
        <w:spacing w:line="360" w:lineRule="auto"/>
        <w:jc w:val="left"/>
        <w:rPr>
          <w:rFonts w:hint="eastAsia" w:ascii="宋体" w:hAnsi="宋体" w:cs="宋体"/>
          <w:b/>
          <w:bCs/>
          <w:sz w:val="24"/>
        </w:rPr>
      </w:pPr>
      <w:r>
        <w:rPr>
          <w:rFonts w:hint="eastAsia" w:ascii="宋体" w:hAnsi="宋体" w:cs="宋体"/>
          <w:b/>
          <w:bCs/>
          <w:sz w:val="24"/>
        </w:rPr>
        <w:t>二、资质证明文件</w:t>
      </w:r>
    </w:p>
    <w:p>
      <w:pPr>
        <w:ind w:firstLine="480" w:firstLineChars="200"/>
        <w:rPr>
          <w:rFonts w:hint="eastAsia" w:ascii="宋体" w:hAnsi="宋体" w:cs="宋体"/>
          <w:b/>
          <w:bCs/>
          <w:sz w:val="24"/>
        </w:rPr>
      </w:pPr>
      <w:r>
        <w:rPr>
          <w:rFonts w:hint="eastAsia" w:ascii="宋体" w:hAnsi="宋体" w:cs="宋体"/>
          <w:sz w:val="24"/>
        </w:rPr>
        <w:t>提供：营业执照和资质证书，复印件并加盖公章。</w:t>
      </w:r>
      <w:r>
        <w:rPr>
          <w:rFonts w:hint="eastAsia" w:ascii="宋体" w:hAnsi="宋体" w:cs="宋体"/>
          <w:b/>
          <w:bCs/>
          <w:sz w:val="24"/>
        </w:rPr>
        <w:br w:type="page"/>
      </w:r>
    </w:p>
    <w:p>
      <w:pPr>
        <w:spacing w:line="360" w:lineRule="auto"/>
        <w:jc w:val="left"/>
        <w:rPr>
          <w:rFonts w:hint="eastAsia" w:ascii="宋体" w:hAnsi="宋体" w:cs="宋体"/>
          <w:b/>
          <w:bCs/>
          <w:sz w:val="24"/>
        </w:rPr>
      </w:pPr>
      <w:r>
        <w:rPr>
          <w:rFonts w:hint="eastAsia" w:ascii="宋体" w:hAnsi="宋体" w:cs="宋体"/>
          <w:b/>
          <w:bCs/>
          <w:sz w:val="24"/>
        </w:rPr>
        <w:t>三、公司简介及类似项目案例（可选）</w:t>
      </w:r>
    </w:p>
    <w:p>
      <w:pPr>
        <w:spacing w:line="360" w:lineRule="auto"/>
        <w:ind w:firstLine="482" w:firstLineChars="200"/>
        <w:jc w:val="left"/>
        <w:rPr>
          <w:rFonts w:hint="eastAsia" w:ascii="宋体" w:hAnsi="宋体" w:cs="宋体"/>
          <w:b/>
          <w:bCs/>
          <w:sz w:val="24"/>
        </w:rPr>
      </w:pPr>
      <w:r>
        <w:rPr>
          <w:rFonts w:hint="eastAsia" w:ascii="宋体" w:hAnsi="宋体" w:cs="宋体"/>
          <w:b/>
          <w:bCs/>
          <w:sz w:val="24"/>
        </w:rPr>
        <w:t>内容自拟。</w:t>
      </w:r>
    </w:p>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D72E4"/>
    <w:multiLevelType w:val="singleLevel"/>
    <w:tmpl w:val="45AD72E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4C0796"/>
    <w:rsid w:val="218322A6"/>
    <w:rsid w:val="46C447C7"/>
    <w:rsid w:val="50BE55DA"/>
    <w:rsid w:val="602A5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2026-09-09T06:54:00Z</dcterms:created>
  <dc:creator>Denglm</dc:creator>
  <cp:lastModifiedBy>Denglm</cp:lastModifiedBy>
  <dcterms:modified xsi:type="dcterms:W3CDTF">2026-09-18T06:43:41Z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