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8F64E0">
      <w:pPr>
        <w:spacing w:line="360" w:lineRule="auto"/>
        <w:rPr>
          <w:rFonts w:hint="eastAsia"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附件：《报价函格式》</w:t>
      </w:r>
    </w:p>
    <w:p w14:paraId="1BB70C3F">
      <w:pPr>
        <w:spacing w:line="360" w:lineRule="auto"/>
        <w:jc w:val="center"/>
        <w:rPr>
          <w:rFonts w:hint="eastAsia" w:asciiTheme="majorEastAsia" w:hAnsiTheme="majorEastAsia" w:eastAsiaTheme="majorEastAsia" w:cstheme="majorEastAsia"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一、</w:t>
      </w:r>
      <w:r>
        <w:rPr>
          <w:rFonts w:hint="eastAsia" w:asciiTheme="majorEastAsia" w:hAnsiTheme="majorEastAsia" w:eastAsiaTheme="majorEastAsia" w:cstheme="majorEastAsia"/>
          <w:sz w:val="36"/>
          <w:szCs w:val="36"/>
        </w:rPr>
        <w:t>成都杜甫草堂博物馆</w:t>
      </w:r>
      <w:r>
        <w:rPr>
          <w:rFonts w:hint="eastAsia" w:asciiTheme="majorEastAsia" w:hAnsiTheme="majorEastAsia" w:eastAsiaTheme="majorEastAsia" w:cstheme="majorEastAsia"/>
          <w:sz w:val="36"/>
          <w:szCs w:val="36"/>
          <w:lang w:val="en-US" w:eastAsia="zh-CN"/>
        </w:rPr>
        <w:t>南</w:t>
      </w:r>
      <w:r>
        <w:rPr>
          <w:rFonts w:hint="eastAsia" w:asciiTheme="majorEastAsia" w:hAnsiTheme="majorEastAsia" w:eastAsiaTheme="majorEastAsia" w:cstheme="majorEastAsia"/>
          <w:sz w:val="36"/>
          <w:szCs w:val="36"/>
        </w:rPr>
        <w:t>门地下停车场电梯</w:t>
      </w:r>
    </w:p>
    <w:p w14:paraId="6FE60066">
      <w:pPr>
        <w:spacing w:line="360" w:lineRule="auto"/>
        <w:jc w:val="center"/>
        <w:rPr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6"/>
          <w:szCs w:val="36"/>
        </w:rPr>
        <w:t>维修服务项目</w:t>
      </w:r>
      <w:r>
        <w:rPr>
          <w:rFonts w:hint="eastAsia" w:asciiTheme="majorEastAsia" w:hAnsiTheme="majorEastAsia" w:eastAsiaTheme="majorEastAsia" w:cstheme="majorEastAsia"/>
          <w:sz w:val="36"/>
          <w:szCs w:val="36"/>
          <w:lang w:val="en-US" w:eastAsia="zh-CN"/>
        </w:rPr>
        <w:t>报</w:t>
      </w:r>
      <w:r>
        <w:rPr>
          <w:rFonts w:hint="eastAsia" w:asciiTheme="majorEastAsia" w:hAnsiTheme="majorEastAsia" w:eastAsiaTheme="majorEastAsia" w:cstheme="majorEastAsia"/>
          <w:sz w:val="36"/>
          <w:szCs w:val="36"/>
        </w:rPr>
        <w:t>价函</w:t>
      </w:r>
      <w:bookmarkStart w:id="0" w:name="_GoBack"/>
      <w:bookmarkEnd w:id="0"/>
    </w:p>
    <w:p w14:paraId="2ED7F785">
      <w:pPr>
        <w:spacing w:line="360" w:lineRule="auto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致：成都杜甫草堂博物馆</w:t>
      </w:r>
    </w:p>
    <w:p w14:paraId="1F09B429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我司已仔细阅读询价函，已知悉该项目服务内容及要求，现决定参与本次报价，并承诺：若有幸成交，将严格履行询价函要求的全部服务内容和有关事项。</w:t>
      </w:r>
    </w:p>
    <w:p w14:paraId="456DA361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报价如下：</w:t>
      </w:r>
    </w:p>
    <w:tbl>
      <w:tblPr>
        <w:tblStyle w:val="4"/>
        <w:tblW w:w="75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"/>
        <w:gridCol w:w="1633"/>
        <w:gridCol w:w="1142"/>
        <w:gridCol w:w="1057"/>
        <w:gridCol w:w="1040"/>
        <w:gridCol w:w="1040"/>
        <w:gridCol w:w="1040"/>
      </w:tblGrid>
      <w:tr w14:paraId="76966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74" w:type="dxa"/>
            <w:vAlign w:val="center"/>
          </w:tcPr>
          <w:p w14:paraId="0B5E6DBA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序号</w:t>
            </w:r>
          </w:p>
        </w:tc>
        <w:tc>
          <w:tcPr>
            <w:tcW w:w="1633" w:type="dxa"/>
            <w:vAlign w:val="center"/>
          </w:tcPr>
          <w:p w14:paraId="7E94A698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材料名称</w:t>
            </w:r>
          </w:p>
        </w:tc>
        <w:tc>
          <w:tcPr>
            <w:tcW w:w="1142" w:type="dxa"/>
            <w:vAlign w:val="center"/>
          </w:tcPr>
          <w:p w14:paraId="47AA91C4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单位</w:t>
            </w:r>
          </w:p>
        </w:tc>
        <w:tc>
          <w:tcPr>
            <w:tcW w:w="1057" w:type="dxa"/>
            <w:vAlign w:val="center"/>
          </w:tcPr>
          <w:p w14:paraId="5E1079B3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数量</w:t>
            </w:r>
          </w:p>
        </w:tc>
        <w:tc>
          <w:tcPr>
            <w:tcW w:w="1040" w:type="dxa"/>
            <w:vAlign w:val="center"/>
          </w:tcPr>
          <w:p w14:paraId="3BBC0F52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单</w:t>
            </w:r>
            <w:r>
              <w:rPr>
                <w:rFonts w:hint="eastAsia" w:ascii="宋体" w:hAnsi="宋体" w:cs="宋体"/>
                <w:sz w:val="24"/>
              </w:rPr>
              <w:t>价（元）</w:t>
            </w:r>
          </w:p>
        </w:tc>
        <w:tc>
          <w:tcPr>
            <w:tcW w:w="1040" w:type="dxa"/>
            <w:vAlign w:val="center"/>
          </w:tcPr>
          <w:p w14:paraId="4BB1BD7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合计</w:t>
            </w:r>
          </w:p>
        </w:tc>
        <w:tc>
          <w:tcPr>
            <w:tcW w:w="1040" w:type="dxa"/>
            <w:vAlign w:val="center"/>
          </w:tcPr>
          <w:p w14:paraId="2566381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</w:rPr>
              <w:t>备注</w:t>
            </w:r>
          </w:p>
        </w:tc>
      </w:tr>
      <w:tr w14:paraId="6E493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574" w:type="dxa"/>
            <w:vAlign w:val="center"/>
          </w:tcPr>
          <w:p w14:paraId="0DB6CB81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633" w:type="dxa"/>
            <w:vAlign w:val="center"/>
          </w:tcPr>
          <w:p w14:paraId="34EAEDBA">
            <w:pPr>
              <w:spacing w:line="360" w:lineRule="auto"/>
              <w:rPr>
                <w:rFonts w:hint="default" w:ascii="宋体" w:hAnsi="宋体" w:cs="宋体" w:eastAsiaTheme="minorEastAsia"/>
                <w:sz w:val="24"/>
                <w:lang w:val="en-US" w:eastAsia="zh-CN"/>
              </w:rPr>
            </w:pPr>
            <w:r>
              <w:rPr>
                <w:rFonts w:hint="eastAsia" w:ascii="等线" w:hAnsi="等线" w:eastAsia="等线" w:cs="Arial"/>
                <w:color w:val="000000"/>
                <w:kern w:val="0"/>
                <w:szCs w:val="21"/>
                <w:lang w:val="en-US" w:eastAsia="zh-CN"/>
              </w:rPr>
              <w:t>门机变频器</w:t>
            </w:r>
          </w:p>
        </w:tc>
        <w:tc>
          <w:tcPr>
            <w:tcW w:w="1142" w:type="dxa"/>
            <w:vAlign w:val="center"/>
          </w:tcPr>
          <w:p w14:paraId="1052B31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1057" w:type="dxa"/>
            <w:vAlign w:val="center"/>
          </w:tcPr>
          <w:p w14:paraId="78F62A4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040" w:type="dxa"/>
            <w:vAlign w:val="center"/>
          </w:tcPr>
          <w:p w14:paraId="222B8398"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 w14:paraId="327D56DA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 w14:paraId="144C80BA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38E9D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574" w:type="dxa"/>
            <w:vAlign w:val="center"/>
          </w:tcPr>
          <w:p w14:paraId="1344941E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633" w:type="dxa"/>
            <w:vAlign w:val="center"/>
          </w:tcPr>
          <w:p w14:paraId="52A30BCC">
            <w:pPr>
              <w:spacing w:line="360" w:lineRule="auto"/>
              <w:jc w:val="left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 w:ascii="等线" w:hAnsi="等线" w:eastAsia="等线" w:cs="Arial"/>
                <w:color w:val="000000"/>
                <w:kern w:val="0"/>
                <w:szCs w:val="21"/>
                <w:lang w:val="en-US" w:eastAsia="zh-CN"/>
              </w:rPr>
              <w:t>轿厢通讯板</w:t>
            </w:r>
          </w:p>
        </w:tc>
        <w:tc>
          <w:tcPr>
            <w:tcW w:w="1142" w:type="dxa"/>
            <w:vAlign w:val="center"/>
          </w:tcPr>
          <w:p w14:paraId="2055E84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szCs w:val="22"/>
                <w:lang w:val="en-US" w:eastAsia="zh-CN"/>
              </w:rPr>
              <w:t>张</w:t>
            </w:r>
          </w:p>
        </w:tc>
        <w:tc>
          <w:tcPr>
            <w:tcW w:w="1057" w:type="dxa"/>
            <w:vAlign w:val="center"/>
          </w:tcPr>
          <w:p w14:paraId="1FB93CB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040" w:type="dxa"/>
            <w:vAlign w:val="center"/>
          </w:tcPr>
          <w:p w14:paraId="2E8D63F1"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 w14:paraId="03C8B05D"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 w14:paraId="203A8706"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</w:tr>
      <w:tr w14:paraId="2210D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74" w:type="dxa"/>
            <w:vAlign w:val="center"/>
          </w:tcPr>
          <w:p w14:paraId="56C04314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633" w:type="dxa"/>
            <w:vAlign w:val="center"/>
          </w:tcPr>
          <w:p w14:paraId="6E416F50">
            <w:pPr>
              <w:spacing w:line="360" w:lineRule="auto"/>
              <w:jc w:val="left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 w:ascii="等线" w:hAnsi="等线" w:eastAsia="等线" w:cs="Arial"/>
                <w:color w:val="000000"/>
                <w:kern w:val="0"/>
                <w:szCs w:val="21"/>
                <w:lang w:val="en-US" w:eastAsia="zh-CN"/>
              </w:rPr>
              <w:t>轿厢显示板</w:t>
            </w:r>
          </w:p>
        </w:tc>
        <w:tc>
          <w:tcPr>
            <w:tcW w:w="1142" w:type="dxa"/>
            <w:vAlign w:val="center"/>
          </w:tcPr>
          <w:p w14:paraId="52C1799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2"/>
                <w:szCs w:val="22"/>
                <w:lang w:val="en-US" w:eastAsia="zh-CN"/>
              </w:rPr>
              <w:t>张</w:t>
            </w:r>
          </w:p>
        </w:tc>
        <w:tc>
          <w:tcPr>
            <w:tcW w:w="1057" w:type="dxa"/>
            <w:vAlign w:val="center"/>
          </w:tcPr>
          <w:p w14:paraId="5BAB583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040" w:type="dxa"/>
            <w:vAlign w:val="center"/>
          </w:tcPr>
          <w:p w14:paraId="7950254E"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 w14:paraId="1FC04F7F"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 w14:paraId="0DBA479D"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</w:tr>
      <w:tr w14:paraId="0D598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74" w:type="dxa"/>
            <w:vAlign w:val="center"/>
          </w:tcPr>
          <w:p w14:paraId="19E605DE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633" w:type="dxa"/>
            <w:vAlign w:val="center"/>
          </w:tcPr>
          <w:p w14:paraId="69EAEBCF">
            <w:pPr>
              <w:spacing w:line="360" w:lineRule="auto"/>
              <w:jc w:val="left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变频器主板</w:t>
            </w:r>
          </w:p>
        </w:tc>
        <w:tc>
          <w:tcPr>
            <w:tcW w:w="1142" w:type="dxa"/>
            <w:vAlign w:val="center"/>
          </w:tcPr>
          <w:p w14:paraId="6D41D81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2"/>
                <w:szCs w:val="22"/>
                <w:lang w:val="en-US" w:eastAsia="zh-CN"/>
              </w:rPr>
              <w:t>张</w:t>
            </w:r>
          </w:p>
        </w:tc>
        <w:tc>
          <w:tcPr>
            <w:tcW w:w="1057" w:type="dxa"/>
            <w:vAlign w:val="center"/>
          </w:tcPr>
          <w:p w14:paraId="07D4ACE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040" w:type="dxa"/>
            <w:vAlign w:val="center"/>
          </w:tcPr>
          <w:p w14:paraId="416BDA0F"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 w14:paraId="0F5EEAB2"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 w14:paraId="4FDECB66"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</w:tr>
      <w:tr w14:paraId="1F3E9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74" w:type="dxa"/>
            <w:vAlign w:val="center"/>
          </w:tcPr>
          <w:p w14:paraId="4F6AA5D5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633" w:type="dxa"/>
            <w:vAlign w:val="center"/>
          </w:tcPr>
          <w:p w14:paraId="4EDDA804">
            <w:pPr>
              <w:spacing w:line="360" w:lineRule="auto"/>
              <w:jc w:val="left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 w:ascii="等线" w:hAnsi="等线" w:eastAsia="等线" w:cs="Arial"/>
                <w:color w:val="000000"/>
                <w:kern w:val="0"/>
                <w:szCs w:val="21"/>
                <w:lang w:val="en-US" w:eastAsia="zh-CN"/>
              </w:rPr>
              <w:t>控制柜主板</w:t>
            </w:r>
          </w:p>
        </w:tc>
        <w:tc>
          <w:tcPr>
            <w:tcW w:w="1142" w:type="dxa"/>
            <w:vAlign w:val="center"/>
          </w:tcPr>
          <w:p w14:paraId="479F204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2"/>
                <w:szCs w:val="22"/>
                <w:lang w:val="en-US" w:eastAsia="zh-CN"/>
              </w:rPr>
              <w:t>张</w:t>
            </w:r>
          </w:p>
        </w:tc>
        <w:tc>
          <w:tcPr>
            <w:tcW w:w="1057" w:type="dxa"/>
            <w:vAlign w:val="center"/>
          </w:tcPr>
          <w:p w14:paraId="4816250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040" w:type="dxa"/>
            <w:vAlign w:val="center"/>
          </w:tcPr>
          <w:p w14:paraId="43B8B151"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 w14:paraId="453991BB"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 w14:paraId="1197A0B5"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</w:tr>
      <w:tr w14:paraId="5EC3E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74" w:type="dxa"/>
            <w:vAlign w:val="center"/>
          </w:tcPr>
          <w:p w14:paraId="52CF5761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633" w:type="dxa"/>
            <w:vAlign w:val="center"/>
          </w:tcPr>
          <w:p w14:paraId="2270E87D">
            <w:pPr>
              <w:spacing w:line="360" w:lineRule="auto"/>
              <w:jc w:val="left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 w:ascii="等线" w:hAnsi="等线" w:eastAsia="等线" w:cs="Arial"/>
                <w:color w:val="000000"/>
                <w:kern w:val="0"/>
                <w:szCs w:val="21"/>
                <w:lang w:val="en-US" w:eastAsia="zh-CN"/>
              </w:rPr>
              <w:t>轿厢木地板</w:t>
            </w:r>
          </w:p>
        </w:tc>
        <w:tc>
          <w:tcPr>
            <w:tcW w:w="1142" w:type="dxa"/>
            <w:vAlign w:val="center"/>
          </w:tcPr>
          <w:p w14:paraId="28983788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m</w:t>
            </w:r>
            <w:r>
              <w:rPr>
                <w:rFonts w:hint="eastAsia" w:eastAsiaTheme="minorEastAsia"/>
                <w:vertAlign w:val="superscript"/>
                <w:lang w:val="en-US" w:eastAsia="zh-CN"/>
              </w:rPr>
              <w:t>2</w:t>
            </w:r>
          </w:p>
        </w:tc>
        <w:tc>
          <w:tcPr>
            <w:tcW w:w="1057" w:type="dxa"/>
            <w:vAlign w:val="center"/>
          </w:tcPr>
          <w:p w14:paraId="45390E7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040" w:type="dxa"/>
            <w:vAlign w:val="center"/>
          </w:tcPr>
          <w:p w14:paraId="6DC70E82"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 w14:paraId="2668339C"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 w14:paraId="28E69210"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</w:tr>
      <w:tr w14:paraId="53A68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74" w:type="dxa"/>
            <w:vAlign w:val="center"/>
          </w:tcPr>
          <w:p w14:paraId="78D4DFFD">
            <w:pPr>
              <w:spacing w:line="360" w:lineRule="auto"/>
              <w:jc w:val="center"/>
              <w:rPr>
                <w:rFonts w:hint="eastAsia"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633" w:type="dxa"/>
            <w:vAlign w:val="center"/>
          </w:tcPr>
          <w:p w14:paraId="44FC0AF0">
            <w:pPr>
              <w:spacing w:line="360" w:lineRule="auto"/>
              <w:jc w:val="left"/>
              <w:rPr>
                <w:rFonts w:hint="default" w:ascii="等线" w:hAnsi="等线" w:eastAsia="等线" w:cs="Arial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Arial"/>
                <w:color w:val="000000"/>
                <w:kern w:val="0"/>
                <w:szCs w:val="21"/>
                <w:lang w:val="en-US" w:eastAsia="zh-CN"/>
              </w:rPr>
              <w:t>防火扣板</w:t>
            </w:r>
          </w:p>
        </w:tc>
        <w:tc>
          <w:tcPr>
            <w:tcW w:w="1142" w:type="dxa"/>
            <w:vAlign w:val="center"/>
          </w:tcPr>
          <w:p w14:paraId="1D2E66CD">
            <w:pPr>
              <w:spacing w:line="360" w:lineRule="auto"/>
              <w:jc w:val="center"/>
              <w:rPr>
                <w:rFonts w:hint="eastAsia" w:ascii="Arial" w:hAnsi="Arial" w:cs="Arial" w:eastAsiaTheme="minorEastAsia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m</w:t>
            </w:r>
            <w:r>
              <w:rPr>
                <w:rFonts w:hint="eastAsia" w:eastAsiaTheme="minorEastAsia"/>
                <w:vertAlign w:val="superscript"/>
                <w:lang w:val="en-US" w:eastAsia="zh-CN"/>
              </w:rPr>
              <w:t>2</w:t>
            </w:r>
          </w:p>
        </w:tc>
        <w:tc>
          <w:tcPr>
            <w:tcW w:w="1057" w:type="dxa"/>
            <w:vAlign w:val="center"/>
          </w:tcPr>
          <w:p w14:paraId="45C88C5F">
            <w:pPr>
              <w:spacing w:line="360" w:lineRule="auto"/>
              <w:jc w:val="center"/>
              <w:rPr>
                <w:rFonts w:hint="eastAsia" w:ascii="宋体" w:hAnsi="宋体" w:cs="Arial" w:eastAsiaTheme="minorEastAsia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040" w:type="dxa"/>
            <w:vAlign w:val="center"/>
          </w:tcPr>
          <w:p w14:paraId="3C0E2250"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 w14:paraId="6D869753"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 w14:paraId="29E5E01E"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</w:tr>
      <w:tr w14:paraId="1BE7A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74" w:type="dxa"/>
            <w:vAlign w:val="center"/>
          </w:tcPr>
          <w:p w14:paraId="3C97E2CF">
            <w:pPr>
              <w:spacing w:line="360" w:lineRule="auto"/>
              <w:jc w:val="center"/>
              <w:rPr>
                <w:rFonts w:hint="eastAsia" w:ascii="Arial" w:hAnsi="Arial" w:cs="Arial" w:eastAsiaTheme="minorEastAsia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1633" w:type="dxa"/>
            <w:vAlign w:val="center"/>
          </w:tcPr>
          <w:p w14:paraId="406CC650">
            <w:pPr>
              <w:spacing w:line="360" w:lineRule="auto"/>
              <w:jc w:val="left"/>
              <w:rPr>
                <w:rFonts w:hint="default" w:ascii="等线" w:hAnsi="等线" w:eastAsia="等线" w:cs="Arial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等线" w:cs="Arial"/>
                <w:color w:val="000000"/>
                <w:kern w:val="0"/>
                <w:sz w:val="22"/>
                <w:szCs w:val="22"/>
                <w:lang w:val="en-US" w:eastAsia="zh-CN"/>
              </w:rPr>
              <w:t>安装调试费</w:t>
            </w:r>
          </w:p>
        </w:tc>
        <w:tc>
          <w:tcPr>
            <w:tcW w:w="1142" w:type="dxa"/>
            <w:vAlign w:val="center"/>
          </w:tcPr>
          <w:p w14:paraId="5C7D7B4F">
            <w:pPr>
              <w:spacing w:line="360" w:lineRule="auto"/>
              <w:jc w:val="center"/>
              <w:rPr>
                <w:rFonts w:hint="default" w:ascii="Arial" w:hAnsi="Arial" w:cs="Arial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2"/>
                <w:szCs w:val="22"/>
                <w:lang w:val="en-US" w:eastAsia="zh-CN"/>
              </w:rPr>
              <w:t>项</w:t>
            </w:r>
          </w:p>
        </w:tc>
        <w:tc>
          <w:tcPr>
            <w:tcW w:w="1057" w:type="dxa"/>
            <w:vAlign w:val="center"/>
          </w:tcPr>
          <w:p w14:paraId="5F6EEA84">
            <w:pPr>
              <w:spacing w:line="360" w:lineRule="auto"/>
              <w:jc w:val="center"/>
              <w:rPr>
                <w:rFonts w:hint="default" w:ascii="宋体" w:hAnsi="宋体" w:cs="Arial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2080" w:type="dxa"/>
            <w:gridSpan w:val="2"/>
            <w:vAlign w:val="center"/>
          </w:tcPr>
          <w:p w14:paraId="73C2AD91"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 w14:paraId="22D0C5FC"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</w:tr>
      <w:tr w14:paraId="26555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74" w:type="dxa"/>
            <w:vAlign w:val="center"/>
          </w:tcPr>
          <w:p w14:paraId="49A54075">
            <w:pPr>
              <w:spacing w:line="360" w:lineRule="auto"/>
              <w:jc w:val="center"/>
              <w:rPr>
                <w:rFonts w:hint="default" w:ascii="宋体" w:hAnsi="宋体" w:cs="Arial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1633" w:type="dxa"/>
            <w:vAlign w:val="center"/>
          </w:tcPr>
          <w:p w14:paraId="704F1AFD">
            <w:pPr>
              <w:spacing w:line="360" w:lineRule="auto"/>
              <w:jc w:val="left"/>
              <w:rPr>
                <w:rFonts w:hint="default" w:ascii="宋体" w:hAnsi="宋体" w:cs="Arial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2"/>
                <w:szCs w:val="22"/>
                <w:lang w:val="en-US" w:eastAsia="zh-CN"/>
              </w:rPr>
              <w:t>人工费</w:t>
            </w:r>
          </w:p>
        </w:tc>
        <w:tc>
          <w:tcPr>
            <w:tcW w:w="1142" w:type="dxa"/>
            <w:vAlign w:val="center"/>
          </w:tcPr>
          <w:p w14:paraId="40478970">
            <w:pPr>
              <w:spacing w:line="360" w:lineRule="auto"/>
              <w:jc w:val="center"/>
              <w:rPr>
                <w:rFonts w:hint="default" w:ascii="宋体" w:hAnsi="宋体" w:cs="Arial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2"/>
                <w:szCs w:val="22"/>
                <w:lang w:val="en-US" w:eastAsia="zh-CN"/>
              </w:rPr>
              <w:t>项</w:t>
            </w:r>
          </w:p>
        </w:tc>
        <w:tc>
          <w:tcPr>
            <w:tcW w:w="1057" w:type="dxa"/>
            <w:vAlign w:val="center"/>
          </w:tcPr>
          <w:p w14:paraId="2102B36B">
            <w:pPr>
              <w:spacing w:line="360" w:lineRule="auto"/>
              <w:jc w:val="center"/>
              <w:rPr>
                <w:rFonts w:hint="default" w:ascii="宋体" w:hAnsi="宋体" w:cs="Arial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2080" w:type="dxa"/>
            <w:gridSpan w:val="2"/>
            <w:vAlign w:val="center"/>
          </w:tcPr>
          <w:p w14:paraId="6A113301"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  <w:lang w:val="en-US" w:eastAsia="zh-CN"/>
              </w:rPr>
            </w:pPr>
          </w:p>
        </w:tc>
        <w:tc>
          <w:tcPr>
            <w:tcW w:w="1040" w:type="dxa"/>
            <w:vAlign w:val="center"/>
          </w:tcPr>
          <w:p w14:paraId="0737178B"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  <w:lang w:val="en-US" w:eastAsia="zh-CN"/>
              </w:rPr>
            </w:pPr>
          </w:p>
        </w:tc>
      </w:tr>
      <w:tr w14:paraId="0FE2B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74" w:type="dxa"/>
            <w:vAlign w:val="center"/>
          </w:tcPr>
          <w:p w14:paraId="7FDB2220">
            <w:pPr>
              <w:spacing w:line="360" w:lineRule="auto"/>
              <w:jc w:val="left"/>
              <w:rPr>
                <w:rFonts w:hint="default" w:ascii="宋体" w:hAnsi="宋体" w:cs="Arial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1633" w:type="dxa"/>
            <w:vAlign w:val="center"/>
          </w:tcPr>
          <w:p w14:paraId="0EE37436">
            <w:pPr>
              <w:spacing w:line="360" w:lineRule="auto"/>
              <w:jc w:val="left"/>
              <w:rPr>
                <w:rFonts w:hint="eastAsia" w:ascii="宋体" w:hAnsi="宋体" w:cs="Arial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2"/>
                <w:szCs w:val="22"/>
                <w:lang w:val="en-US" w:eastAsia="zh-CN"/>
              </w:rPr>
              <w:t>税率（%）</w:t>
            </w:r>
          </w:p>
        </w:tc>
        <w:tc>
          <w:tcPr>
            <w:tcW w:w="1142" w:type="dxa"/>
            <w:vAlign w:val="center"/>
          </w:tcPr>
          <w:p w14:paraId="6FD71408">
            <w:pPr>
              <w:spacing w:line="360" w:lineRule="auto"/>
              <w:jc w:val="center"/>
              <w:rPr>
                <w:rFonts w:hint="eastAsia" w:ascii="宋体" w:hAnsi="宋体" w:cs="Arial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2"/>
                <w:szCs w:val="22"/>
                <w:lang w:val="en-US" w:eastAsia="zh-CN"/>
              </w:rPr>
              <w:t>项</w:t>
            </w:r>
          </w:p>
        </w:tc>
        <w:tc>
          <w:tcPr>
            <w:tcW w:w="1057" w:type="dxa"/>
            <w:vAlign w:val="center"/>
          </w:tcPr>
          <w:p w14:paraId="502DF70A">
            <w:pPr>
              <w:spacing w:line="360" w:lineRule="auto"/>
              <w:jc w:val="center"/>
              <w:rPr>
                <w:rFonts w:hint="eastAsia" w:ascii="宋体" w:hAnsi="宋体" w:cs="Arial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2080" w:type="dxa"/>
            <w:gridSpan w:val="2"/>
            <w:vAlign w:val="center"/>
          </w:tcPr>
          <w:p w14:paraId="606B26ED"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  <w:lang w:val="en-US" w:eastAsia="zh-CN"/>
              </w:rPr>
            </w:pPr>
          </w:p>
        </w:tc>
        <w:tc>
          <w:tcPr>
            <w:tcW w:w="1040" w:type="dxa"/>
            <w:vAlign w:val="center"/>
          </w:tcPr>
          <w:p w14:paraId="35C2DA38"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  <w:lang w:val="en-US" w:eastAsia="zh-CN"/>
              </w:rPr>
            </w:pPr>
          </w:p>
        </w:tc>
      </w:tr>
      <w:tr w14:paraId="156D3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2207" w:type="dxa"/>
            <w:gridSpan w:val="2"/>
            <w:vAlign w:val="center"/>
          </w:tcPr>
          <w:p w14:paraId="02901EA0">
            <w:pPr>
              <w:spacing w:line="360" w:lineRule="auto"/>
              <w:jc w:val="left"/>
              <w:rPr>
                <w:rFonts w:hint="eastAsia" w:ascii="宋体" w:hAnsi="宋体" w:cs="Arial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2"/>
                <w:szCs w:val="22"/>
                <w:lang w:val="en-US" w:eastAsia="zh-CN"/>
              </w:rPr>
              <w:t>总合计</w:t>
            </w:r>
          </w:p>
        </w:tc>
        <w:tc>
          <w:tcPr>
            <w:tcW w:w="2199" w:type="dxa"/>
            <w:gridSpan w:val="2"/>
            <w:vAlign w:val="center"/>
          </w:tcPr>
          <w:p w14:paraId="59275790">
            <w:pPr>
              <w:spacing w:line="360" w:lineRule="auto"/>
              <w:jc w:val="both"/>
              <w:rPr>
                <w:rFonts w:hint="eastAsia" w:ascii="宋体" w:hAnsi="宋体" w:cs="Arial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2"/>
                <w:szCs w:val="22"/>
                <w:lang w:val="en-US" w:eastAsia="zh-CN"/>
              </w:rPr>
              <w:t>小写：      元</w:t>
            </w:r>
          </w:p>
        </w:tc>
        <w:tc>
          <w:tcPr>
            <w:tcW w:w="3120" w:type="dxa"/>
            <w:gridSpan w:val="3"/>
            <w:vAlign w:val="center"/>
          </w:tcPr>
          <w:p w14:paraId="79575A93"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大写：</w:t>
            </w:r>
          </w:p>
        </w:tc>
      </w:tr>
    </w:tbl>
    <w:p w14:paraId="439154C9">
      <w:pPr>
        <w:spacing w:line="360" w:lineRule="auto"/>
        <w:jc w:val="left"/>
        <w:rPr>
          <w:rFonts w:ascii="宋体" w:hAnsi="宋体" w:cs="宋体"/>
          <w:sz w:val="24"/>
        </w:rPr>
      </w:pPr>
    </w:p>
    <w:p w14:paraId="413B7B36">
      <w:pPr>
        <w:spacing w:line="360" w:lineRule="auto"/>
        <w:jc w:val="left"/>
        <w:rPr>
          <w:rFonts w:hint="eastAsia" w:ascii="宋体" w:hAnsi="宋体" w:cs="宋体"/>
          <w:sz w:val="24"/>
        </w:rPr>
      </w:pPr>
    </w:p>
    <w:p w14:paraId="334EBB47">
      <w:pPr>
        <w:spacing w:line="360" w:lineRule="auto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注：</w:t>
      </w:r>
    </w:p>
    <w:p w14:paraId="133832C5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最高限价人民币</w:t>
      </w:r>
      <w:r>
        <w:rPr>
          <w:rFonts w:hint="eastAsia" w:ascii="宋体" w:hAnsi="宋体" w:cs="宋体"/>
          <w:sz w:val="24"/>
          <w:u w:val="single"/>
          <w:lang w:val="en-US" w:eastAsia="zh-CN"/>
        </w:rPr>
        <w:t>25000</w:t>
      </w:r>
      <w:r>
        <w:rPr>
          <w:rFonts w:hint="eastAsia" w:ascii="宋体" w:hAnsi="宋体" w:cs="宋体"/>
          <w:sz w:val="24"/>
        </w:rPr>
        <w:t>元（人民币</w:t>
      </w:r>
      <w:r>
        <w:rPr>
          <w:rFonts w:hint="eastAsia" w:ascii="宋体" w:hAnsi="宋体" w:cs="宋体"/>
          <w:sz w:val="24"/>
          <w:lang w:val="en-US" w:eastAsia="zh-CN"/>
        </w:rPr>
        <w:t>肆万玖仟</w:t>
      </w:r>
      <w:r>
        <w:rPr>
          <w:rFonts w:hint="eastAsia" w:ascii="宋体" w:hAnsi="宋体" w:cs="宋体"/>
          <w:sz w:val="24"/>
        </w:rPr>
        <w:t>元整），高于则报价无效；</w:t>
      </w:r>
      <w:r>
        <w:rPr>
          <w:rFonts w:hint="eastAsia" w:asciiTheme="minorEastAsia" w:hAnsiTheme="minorEastAsia" w:cstheme="minorEastAsia"/>
          <w:color w:val="auto"/>
          <w:sz w:val="24"/>
        </w:rPr>
        <w:t>包括现场勘查费</w:t>
      </w:r>
      <w:r>
        <w:rPr>
          <w:rFonts w:hint="eastAsia" w:asciiTheme="minorEastAsia" w:hAnsiTheme="minorEastAsia" w:cstheme="minorEastAsia"/>
          <w:color w:val="auto"/>
          <w:sz w:val="24"/>
          <w:lang w:val="en-US" w:eastAsia="zh-CN"/>
        </w:rPr>
        <w:t>、</w:t>
      </w:r>
      <w:r>
        <w:rPr>
          <w:rFonts w:hint="eastAsia" w:asciiTheme="minorEastAsia" w:hAnsiTheme="minorEastAsia" w:cstheme="minorEastAsia"/>
          <w:color w:val="auto"/>
          <w:sz w:val="24"/>
        </w:rPr>
        <w:t>维修清单预算编制费</w:t>
      </w:r>
      <w:r>
        <w:rPr>
          <w:rFonts w:hint="eastAsia" w:asciiTheme="minorEastAsia" w:hAnsiTheme="minorEastAsia" w:cstheme="minorEastAsia"/>
          <w:color w:val="auto"/>
          <w:sz w:val="24"/>
          <w:lang w:eastAsia="zh-CN"/>
        </w:rPr>
        <w:t>、</w:t>
      </w:r>
      <w:r>
        <w:rPr>
          <w:rFonts w:hint="eastAsia" w:asciiTheme="minorEastAsia" w:hAnsiTheme="minorEastAsia" w:cstheme="minorEastAsia"/>
          <w:color w:val="auto"/>
          <w:sz w:val="24"/>
          <w:lang w:val="en-US" w:eastAsia="zh-CN"/>
        </w:rPr>
        <w:t>零部件拆除更换施工费、电梯检测服务</w:t>
      </w:r>
      <w:r>
        <w:rPr>
          <w:rFonts w:hint="eastAsia" w:asciiTheme="minorEastAsia" w:hAnsiTheme="minorEastAsia" w:cstheme="minorEastAsia"/>
          <w:color w:val="auto"/>
          <w:sz w:val="24"/>
        </w:rPr>
        <w:t>及税金等完成本服务项目的全部费用</w:t>
      </w:r>
      <w:r>
        <w:rPr>
          <w:rFonts w:hint="eastAsia" w:ascii="宋体" w:hAnsi="宋体" w:cs="宋体"/>
          <w:sz w:val="24"/>
        </w:rPr>
        <w:t>。</w:t>
      </w:r>
    </w:p>
    <w:p w14:paraId="4F3DC5A0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询价人有权自主选择合理低价的报价方成交，提交报价即视为同意。</w:t>
      </w:r>
    </w:p>
    <w:p w14:paraId="230089FE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cs="宋体"/>
          <w:sz w:val="24"/>
          <w:highlight w:val="yellow"/>
        </w:rPr>
      </w:pPr>
      <w:r>
        <w:rPr>
          <w:rFonts w:hint="eastAsia" w:ascii="宋体" w:hAnsi="宋体" w:cs="宋体"/>
          <w:sz w:val="24"/>
          <w:highlight w:val="yellow"/>
        </w:rPr>
        <w:t>此报价函请于2026年0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9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30</w:t>
      </w:r>
      <w:r>
        <w:rPr>
          <w:rFonts w:hint="eastAsia" w:ascii="宋体" w:hAnsi="宋体" w:cs="宋体"/>
          <w:sz w:val="24"/>
          <w:highlight w:val="yellow"/>
        </w:rPr>
        <w:t>日前送至询价人处。</w:t>
      </w:r>
    </w:p>
    <w:p w14:paraId="0BA8879A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联系电话：</w:t>
      </w:r>
      <w:r>
        <w:rPr>
          <w:rFonts w:hint="eastAsia" w:ascii="宋体" w:hAnsi="宋体" w:cs="宋体"/>
          <w:sz w:val="24"/>
          <w:lang w:val="en-US" w:eastAsia="zh-CN"/>
        </w:rPr>
        <w:t>18215592151    电子邮箱378826144@qq.com</w:t>
      </w:r>
    </w:p>
    <w:p w14:paraId="5A63725C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地址：成都市青羊区</w:t>
      </w:r>
      <w:r>
        <w:rPr>
          <w:rFonts w:hint="eastAsia" w:ascii="宋体" w:hAnsi="宋体" w:cs="宋体"/>
          <w:sz w:val="24"/>
          <w:lang w:val="en-US" w:eastAsia="zh-CN"/>
        </w:rPr>
        <w:t>草堂路2</w:t>
      </w:r>
      <w:r>
        <w:rPr>
          <w:rFonts w:hint="eastAsia" w:ascii="宋体" w:hAnsi="宋体" w:cs="宋体"/>
          <w:sz w:val="24"/>
        </w:rPr>
        <w:t>号</w:t>
      </w:r>
    </w:p>
    <w:p w14:paraId="12E5BB72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本函最终解释权归成都杜甫草堂博物馆所有。</w:t>
      </w:r>
    </w:p>
    <w:p w14:paraId="76D073BE">
      <w:pPr>
        <w:spacing w:line="360" w:lineRule="auto"/>
        <w:jc w:val="left"/>
        <w:rPr>
          <w:rFonts w:hint="eastAsia" w:ascii="宋体" w:hAnsi="宋体" w:cs="宋体"/>
          <w:b/>
          <w:bCs/>
          <w:sz w:val="24"/>
        </w:rPr>
      </w:pPr>
    </w:p>
    <w:p w14:paraId="22A965AC">
      <w:pPr>
        <w:spacing w:line="360" w:lineRule="auto"/>
        <w:ind w:firstLine="3614" w:firstLineChars="15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报价人：               （盖单位公章）</w:t>
      </w:r>
    </w:p>
    <w:p w14:paraId="73CF02B4">
      <w:pPr>
        <w:spacing w:line="360" w:lineRule="auto"/>
        <w:ind w:firstLine="3614" w:firstLineChars="15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法定代表人或授权代表（签字或签章）：</w:t>
      </w:r>
    </w:p>
    <w:p w14:paraId="4DE29D2E">
      <w:pPr>
        <w:spacing w:line="360" w:lineRule="auto"/>
        <w:ind w:firstLine="3614" w:firstLineChars="15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报价日期：     年   月   日</w:t>
      </w:r>
    </w:p>
    <w:p w14:paraId="1097B047">
      <w:pPr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br w:type="page"/>
      </w:r>
    </w:p>
    <w:p w14:paraId="57319DCD">
      <w:pPr>
        <w:spacing w:line="360" w:lineRule="auto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二、资质证明文件</w:t>
      </w:r>
    </w:p>
    <w:p w14:paraId="42765488">
      <w:pPr>
        <w:ind w:firstLine="480" w:firstLineChars="200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sz w:val="24"/>
        </w:rPr>
        <w:t>提供：营业执照和资质证书，复印件并加盖公章。</w:t>
      </w:r>
      <w:r>
        <w:rPr>
          <w:rFonts w:hint="eastAsia" w:ascii="宋体" w:hAnsi="宋体" w:cs="宋体"/>
          <w:b/>
          <w:bCs/>
          <w:sz w:val="24"/>
        </w:rPr>
        <w:br w:type="page"/>
      </w:r>
    </w:p>
    <w:p w14:paraId="3C82E86D">
      <w:pPr>
        <w:spacing w:line="360" w:lineRule="auto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三、公司简介及类似项目案例（可选）</w:t>
      </w:r>
    </w:p>
    <w:p w14:paraId="6DF1050D">
      <w:pPr>
        <w:spacing w:line="360" w:lineRule="auto"/>
        <w:ind w:firstLine="482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内容自拟。</w:t>
      </w:r>
    </w:p>
    <w:p w14:paraId="64146FBD"/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EE5CD7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33463B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33463B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AD72E4"/>
    <w:multiLevelType w:val="singleLevel"/>
    <w:tmpl w:val="45AD72E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AA3727"/>
    <w:rsid w:val="46C4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496</Words>
  <Characters>533</Characters>
  <Lines>0</Lines>
  <Paragraphs>0</Paragraphs>
  <TotalTime>0</TotalTime>
  <ScaleCrop>false</ScaleCrop>
  <LinksUpToDate>false</LinksUpToDate>
  <CharactersWithSpaces>569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2026-09-09T06:54:00Z</dcterms:created>
  <dc:creator>Denglm</dc:creator>
  <cp:lastModifiedBy>Emily</cp:lastModifiedBy>
  <dcterms:modified xsi:type="dcterms:W3CDTF">2026-09-14T08:48:15Z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eyJoZGlkIjoiOWEwNzI3ZTgxMDg4ZDZmNDg3OWZiNzI4NGM1YzA2NmQiLCJ1c2VySWQiOiI0NTAyMjQ2MTQifQ==</vt:lpwstr>
  </property>
  <property fmtid="{D5CDD505-2E9C-101B-9397-08002B2CF9AE}" pid="4" name="ICV">
    <vt:lpwstr>080BA837C84E4BB3822952ABA0F5D94A_12</vt:lpwstr>
  </property>
</Properties>
</file>