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76E432">
      <w:pPr>
        <w:spacing w:line="576" w:lineRule="exact"/>
        <w:jc w:val="left"/>
        <w:rPr>
          <w:rFonts w:eastAsia="黑体"/>
          <w:kern w:val="0"/>
          <w:sz w:val="32"/>
          <w:szCs w:val="30"/>
        </w:rPr>
      </w:pPr>
      <w:r>
        <w:rPr>
          <w:rFonts w:hint="eastAsia" w:ascii="黑体" w:hAnsi="黑体" w:eastAsia="黑体"/>
          <w:color w:val="000000"/>
          <w:sz w:val="32"/>
          <w:szCs w:val="30"/>
        </w:rPr>
        <w:t>附件2</w:t>
      </w:r>
    </w:p>
    <w:tbl>
      <w:tblPr>
        <w:tblStyle w:val="5"/>
        <w:tblW w:w="9775" w:type="dxa"/>
        <w:tblInd w:w="-308" w:type="dxa"/>
        <w:tblLayout w:type="fixed"/>
        <w:tblCellMar>
          <w:top w:w="0" w:type="dxa"/>
          <w:left w:w="108" w:type="dxa"/>
          <w:bottom w:w="0" w:type="dxa"/>
          <w:right w:w="108" w:type="dxa"/>
        </w:tblCellMar>
      </w:tblPr>
      <w:tblGrid>
        <w:gridCol w:w="805"/>
        <w:gridCol w:w="6522"/>
        <w:gridCol w:w="2448"/>
      </w:tblGrid>
      <w:tr w14:paraId="6BF0DFB0">
        <w:tblPrEx>
          <w:tblCellMar>
            <w:top w:w="0" w:type="dxa"/>
            <w:left w:w="108" w:type="dxa"/>
            <w:bottom w:w="0" w:type="dxa"/>
            <w:right w:w="108" w:type="dxa"/>
          </w:tblCellMar>
        </w:tblPrEx>
        <w:trPr>
          <w:trHeight w:val="1660" w:hRule="atLeast"/>
        </w:trPr>
        <w:tc>
          <w:tcPr>
            <w:tcW w:w="9775" w:type="dxa"/>
            <w:gridSpan w:val="3"/>
            <w:tcBorders>
              <w:top w:val="nil"/>
              <w:left w:val="nil"/>
              <w:bottom w:val="nil"/>
              <w:right w:val="nil"/>
            </w:tcBorders>
            <w:noWrap/>
            <w:vAlign w:val="center"/>
          </w:tcPr>
          <w:p w14:paraId="5C38631A">
            <w:pPr>
              <w:spacing w:line="600" w:lineRule="exact"/>
              <w:jc w:val="center"/>
              <w:rPr>
                <w:rFonts w:ascii="方正小标宋_GBK" w:hAnsi="仿宋" w:eastAsia="方正小标宋_GBK" w:cs="仿宋"/>
                <w:color w:val="000000"/>
                <w:sz w:val="44"/>
                <w:szCs w:val="44"/>
              </w:rPr>
            </w:pPr>
            <w:r>
              <w:rPr>
                <w:rFonts w:hint="eastAsia" w:ascii="方正小标宋_GBK" w:hAnsi="仿宋" w:eastAsia="方正小标宋_GBK" w:cs="仿宋"/>
                <w:color w:val="000000"/>
                <w:sz w:val="44"/>
                <w:szCs w:val="44"/>
              </w:rPr>
              <w:t>（供应商名称）</w:t>
            </w:r>
          </w:p>
          <w:p w14:paraId="41331CD7">
            <w:pPr>
              <w:spacing w:line="600" w:lineRule="exact"/>
              <w:jc w:val="center"/>
              <w:rPr>
                <w:rFonts w:hint="eastAsia" w:ascii="方正小标宋_GBK" w:hAnsi="仿宋" w:eastAsia="方正小标宋_GBK" w:cs="仿宋"/>
                <w:color w:val="000000"/>
                <w:sz w:val="40"/>
                <w:szCs w:val="40"/>
                <w:lang w:val="en-US" w:eastAsia="zh-CN"/>
              </w:rPr>
            </w:pPr>
            <w:r>
              <w:rPr>
                <w:rFonts w:hint="eastAsia" w:ascii="方正小标宋_GBK" w:hAnsi="仿宋" w:eastAsia="方正小标宋_GBK" w:cs="仿宋"/>
                <w:color w:val="000000"/>
                <w:sz w:val="40"/>
                <w:szCs w:val="40"/>
              </w:rPr>
              <w:t>关于</w:t>
            </w:r>
            <w:r>
              <w:rPr>
                <w:rFonts w:hint="eastAsia" w:ascii="方正小标宋_GBK" w:hAnsi="仿宋" w:eastAsia="方正小标宋_GBK" w:cs="仿宋"/>
                <w:color w:val="000000"/>
                <w:sz w:val="40"/>
                <w:szCs w:val="40"/>
                <w:lang w:val="en-US" w:eastAsia="zh-CN"/>
              </w:rPr>
              <w:t>成都杜甫草堂博物馆2026年中秋国庆活动</w:t>
            </w:r>
          </w:p>
          <w:p w14:paraId="3E6E66FB">
            <w:pPr>
              <w:spacing w:line="600" w:lineRule="exact"/>
              <w:jc w:val="center"/>
              <w:rPr>
                <w:rFonts w:hint="eastAsia" w:ascii="方正小标宋_GBK" w:hAnsi="仿宋" w:eastAsia="方正小标宋_GBK" w:cs="仿宋"/>
                <w:color w:val="000000"/>
                <w:sz w:val="40"/>
                <w:szCs w:val="40"/>
              </w:rPr>
            </w:pPr>
            <w:r>
              <w:rPr>
                <w:rFonts w:hint="eastAsia" w:ascii="方正小标宋_GBK" w:hAnsi="仿宋" w:eastAsia="方正小标宋_GBK" w:cs="仿宋"/>
                <w:color w:val="000000"/>
                <w:sz w:val="40"/>
                <w:szCs w:val="40"/>
                <w:lang w:val="en-US" w:eastAsia="zh-CN"/>
              </w:rPr>
              <w:t>宣传推广服务</w:t>
            </w:r>
            <w:r>
              <w:rPr>
                <w:rFonts w:hint="eastAsia" w:ascii="方正小标宋_GBK" w:hAnsi="仿宋" w:eastAsia="方正小标宋_GBK" w:cs="仿宋"/>
                <w:color w:val="000000"/>
                <w:sz w:val="40"/>
                <w:szCs w:val="40"/>
              </w:rPr>
              <w:t>项目的报价明细表</w:t>
            </w:r>
          </w:p>
          <w:p w14:paraId="566F2B9B">
            <w:pPr>
              <w:pStyle w:val="2"/>
            </w:pPr>
          </w:p>
        </w:tc>
      </w:tr>
      <w:tr w14:paraId="7A68D3C2">
        <w:tblPrEx>
          <w:tblCellMar>
            <w:top w:w="0" w:type="dxa"/>
            <w:left w:w="108" w:type="dxa"/>
            <w:bottom w:w="0" w:type="dxa"/>
            <w:right w:w="108" w:type="dxa"/>
          </w:tblCellMar>
        </w:tblPrEx>
        <w:trPr>
          <w:trHeight w:val="840" w:hRule="atLeast"/>
        </w:trPr>
        <w:tc>
          <w:tcPr>
            <w:tcW w:w="805" w:type="dxa"/>
            <w:tcBorders>
              <w:top w:val="single" w:color="000000" w:sz="4" w:space="0"/>
              <w:left w:val="single" w:color="000000" w:sz="4" w:space="0"/>
              <w:bottom w:val="single" w:color="000000" w:sz="4" w:space="0"/>
              <w:right w:val="single" w:color="000000" w:sz="4" w:space="0"/>
            </w:tcBorders>
            <w:noWrap/>
            <w:vAlign w:val="center"/>
          </w:tcPr>
          <w:p w14:paraId="2D2E1B50">
            <w:pPr>
              <w:jc w:val="center"/>
              <w:rPr>
                <w:rFonts w:ascii="方正仿宋_GB2312" w:hAnsi="方正仿宋_GB2312" w:eastAsia="方正仿宋_GB2312" w:cs="方正仿宋_GB2312"/>
                <w:color w:val="000000"/>
                <w:sz w:val="24"/>
              </w:rPr>
            </w:pPr>
            <w:r>
              <w:rPr>
                <w:rFonts w:hint="eastAsia" w:ascii="方正仿宋_GB2312" w:hAnsi="方正仿宋_GB2312" w:eastAsia="方正仿宋_GB2312" w:cs="方正仿宋_GB2312"/>
                <w:sz w:val="28"/>
                <w:szCs w:val="28"/>
              </w:rPr>
              <w:t>序号</w:t>
            </w:r>
          </w:p>
        </w:tc>
        <w:tc>
          <w:tcPr>
            <w:tcW w:w="6522" w:type="dxa"/>
            <w:tcBorders>
              <w:top w:val="single" w:color="000000" w:sz="4" w:space="0"/>
              <w:left w:val="single" w:color="000000" w:sz="4" w:space="0"/>
              <w:bottom w:val="single" w:color="000000" w:sz="4" w:space="0"/>
              <w:right w:val="single" w:color="000000" w:sz="4" w:space="0"/>
            </w:tcBorders>
            <w:noWrap/>
            <w:vAlign w:val="center"/>
          </w:tcPr>
          <w:p w14:paraId="22F9322C">
            <w:pPr>
              <w:jc w:val="center"/>
              <w:rPr>
                <w:rFonts w:ascii="方正仿宋_GB2312" w:hAnsi="方正仿宋_GB2312" w:eastAsia="方正仿宋_GB2312" w:cs="方正仿宋_GB2312"/>
                <w:color w:val="000000"/>
                <w:sz w:val="24"/>
              </w:rPr>
            </w:pPr>
            <w:r>
              <w:rPr>
                <w:rFonts w:hint="eastAsia" w:ascii="方正仿宋_GB2312" w:hAnsi="方正仿宋_GB2312" w:eastAsia="方正仿宋_GB2312" w:cs="方正仿宋_GB2312"/>
                <w:sz w:val="28"/>
                <w:szCs w:val="28"/>
              </w:rPr>
              <w:t>报价内容</w:t>
            </w:r>
          </w:p>
        </w:tc>
        <w:tc>
          <w:tcPr>
            <w:tcW w:w="2448" w:type="dxa"/>
            <w:tcBorders>
              <w:top w:val="single" w:color="000000" w:sz="4" w:space="0"/>
              <w:left w:val="single" w:color="000000" w:sz="4" w:space="0"/>
              <w:bottom w:val="single" w:color="000000" w:sz="4" w:space="0"/>
              <w:right w:val="single" w:color="000000" w:sz="4" w:space="0"/>
            </w:tcBorders>
            <w:vAlign w:val="center"/>
          </w:tcPr>
          <w:p w14:paraId="1F739B48">
            <w:pPr>
              <w:jc w:val="center"/>
              <w:rPr>
                <w:rFonts w:ascii="方正仿宋_GB2312" w:hAnsi="方正仿宋_GB2312" w:eastAsia="方正仿宋_GB2312" w:cs="方正仿宋_GB2312"/>
                <w:color w:val="000000"/>
                <w:sz w:val="24"/>
              </w:rPr>
            </w:pPr>
            <w:r>
              <w:rPr>
                <w:rFonts w:hint="eastAsia" w:ascii="方正仿宋_GB2312" w:hAnsi="方正仿宋_GB2312" w:eastAsia="方正仿宋_GB2312" w:cs="方正仿宋_GB2312"/>
                <w:sz w:val="28"/>
                <w:szCs w:val="28"/>
              </w:rPr>
              <w:t>含税报价金额           （保留2位小数）</w:t>
            </w:r>
          </w:p>
        </w:tc>
      </w:tr>
      <w:tr w14:paraId="56DACBA6">
        <w:tblPrEx>
          <w:tblCellMar>
            <w:top w:w="0" w:type="dxa"/>
            <w:left w:w="108" w:type="dxa"/>
            <w:bottom w:w="0" w:type="dxa"/>
            <w:right w:w="108" w:type="dxa"/>
          </w:tblCellMar>
        </w:tblPrEx>
        <w:trPr>
          <w:trHeight w:val="683" w:hRule="atLeast"/>
        </w:trPr>
        <w:tc>
          <w:tcPr>
            <w:tcW w:w="805" w:type="dxa"/>
            <w:tcBorders>
              <w:top w:val="single" w:color="000000" w:sz="4" w:space="0"/>
              <w:left w:val="single" w:color="000000" w:sz="4" w:space="0"/>
              <w:bottom w:val="single" w:color="000000" w:sz="4" w:space="0"/>
              <w:right w:val="single" w:color="000000" w:sz="4" w:space="0"/>
            </w:tcBorders>
            <w:noWrap/>
            <w:vAlign w:val="center"/>
          </w:tcPr>
          <w:p w14:paraId="1CB2FE39">
            <w:pPr>
              <w:jc w:val="center"/>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1</w:t>
            </w:r>
          </w:p>
        </w:tc>
        <w:tc>
          <w:tcPr>
            <w:tcW w:w="6522" w:type="dxa"/>
            <w:tcBorders>
              <w:top w:val="single" w:color="000000" w:sz="4" w:space="0"/>
              <w:left w:val="single" w:color="000000" w:sz="4" w:space="0"/>
              <w:bottom w:val="single" w:color="000000" w:sz="4" w:space="0"/>
              <w:right w:val="single" w:color="000000" w:sz="4" w:space="0"/>
            </w:tcBorders>
            <w:vAlign w:val="center"/>
          </w:tcPr>
          <w:p w14:paraId="2CFF26EE">
            <w:pPr>
              <w:pStyle w:val="3"/>
              <w:keepNext w:val="0"/>
              <w:keepLines w:val="0"/>
              <w:pageBreakBefore w:val="0"/>
              <w:widowControl w:val="0"/>
              <w:kinsoku/>
              <w:wordWrap/>
              <w:overflowPunct/>
              <w:topLinePunct w:val="0"/>
              <w:autoSpaceDE/>
              <w:autoSpaceDN/>
              <w:bidi w:val="0"/>
              <w:adjustRightInd/>
              <w:snapToGrid/>
              <w:spacing w:after="0" w:afterLines="0" w:line="400" w:lineRule="exact"/>
              <w:jc w:val="both"/>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提供项目整体宣传策略与创意策划。拟定项目宣传方案，含提炼核心宣传主题、制定传播节奏清单、梳理宣传亮点等。</w:t>
            </w:r>
          </w:p>
        </w:tc>
        <w:tc>
          <w:tcPr>
            <w:tcW w:w="2448" w:type="dxa"/>
            <w:tcBorders>
              <w:top w:val="single" w:color="000000" w:sz="4" w:space="0"/>
              <w:left w:val="single" w:color="000000" w:sz="4" w:space="0"/>
              <w:bottom w:val="single" w:color="000000" w:sz="4" w:space="0"/>
              <w:right w:val="single" w:color="000000" w:sz="4" w:space="0"/>
            </w:tcBorders>
            <w:vAlign w:val="center"/>
          </w:tcPr>
          <w:p w14:paraId="37511C7D">
            <w:pPr>
              <w:jc w:val="center"/>
              <w:rPr>
                <w:rFonts w:hint="eastAsia" w:ascii="方正仿宋_GB2312" w:hAnsi="方正仿宋_GB2312" w:eastAsia="方正仿宋_GB2312" w:cs="方正仿宋_GB2312"/>
                <w:color w:val="000000"/>
                <w:sz w:val="24"/>
                <w:lang w:val="en-US" w:eastAsia="zh-CN"/>
              </w:rPr>
            </w:pPr>
          </w:p>
        </w:tc>
      </w:tr>
      <w:tr w14:paraId="4CAD2E26">
        <w:tblPrEx>
          <w:tblCellMar>
            <w:top w:w="0" w:type="dxa"/>
            <w:left w:w="108" w:type="dxa"/>
            <w:bottom w:w="0" w:type="dxa"/>
            <w:right w:w="108" w:type="dxa"/>
          </w:tblCellMar>
        </w:tblPrEx>
        <w:trPr>
          <w:trHeight w:val="683" w:hRule="atLeast"/>
        </w:trPr>
        <w:tc>
          <w:tcPr>
            <w:tcW w:w="805" w:type="dxa"/>
            <w:tcBorders>
              <w:top w:val="single" w:color="000000" w:sz="4" w:space="0"/>
              <w:left w:val="single" w:color="000000" w:sz="4" w:space="0"/>
              <w:bottom w:val="single" w:color="000000" w:sz="4" w:space="0"/>
              <w:right w:val="single" w:color="000000" w:sz="4" w:space="0"/>
            </w:tcBorders>
            <w:noWrap/>
            <w:vAlign w:val="center"/>
          </w:tcPr>
          <w:p w14:paraId="33294A8D">
            <w:pPr>
              <w:jc w:val="center"/>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2</w:t>
            </w:r>
          </w:p>
        </w:tc>
        <w:tc>
          <w:tcPr>
            <w:tcW w:w="6522" w:type="dxa"/>
            <w:tcBorders>
              <w:top w:val="single" w:color="000000" w:sz="4" w:space="0"/>
              <w:left w:val="single" w:color="000000" w:sz="4" w:space="0"/>
              <w:bottom w:val="single" w:color="000000" w:sz="4" w:space="0"/>
              <w:right w:val="single" w:color="000000" w:sz="4" w:space="0"/>
            </w:tcBorders>
            <w:vAlign w:val="center"/>
          </w:tcPr>
          <w:p w14:paraId="3772EDF0">
            <w:pPr>
              <w:pStyle w:val="3"/>
              <w:keepNext w:val="0"/>
              <w:keepLines w:val="0"/>
              <w:pageBreakBefore w:val="0"/>
              <w:widowControl w:val="0"/>
              <w:kinsoku/>
              <w:wordWrap/>
              <w:overflowPunct/>
              <w:topLinePunct w:val="0"/>
              <w:autoSpaceDE/>
              <w:autoSpaceDN/>
              <w:bidi w:val="0"/>
              <w:adjustRightInd/>
              <w:snapToGrid/>
              <w:spacing w:after="0" w:afterLines="0" w:line="400" w:lineRule="exact"/>
              <w:jc w:val="both"/>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在国内央级、省级、市级宣传平台开展宣传。统筹各级媒体资源开展成都杜甫草堂博物馆中秋国庆活动图文信息宣传。包含活动前期预告、活动中期进展、活动后期综合总结。项目周期内，组织媒体现场采访不少于两次，在省级及以上宣传平台刊发宣传信息不少于100篇。</w:t>
            </w:r>
          </w:p>
        </w:tc>
        <w:tc>
          <w:tcPr>
            <w:tcW w:w="2448" w:type="dxa"/>
            <w:tcBorders>
              <w:top w:val="single" w:color="000000" w:sz="4" w:space="0"/>
              <w:left w:val="single" w:color="000000" w:sz="4" w:space="0"/>
              <w:bottom w:val="single" w:color="000000" w:sz="4" w:space="0"/>
              <w:right w:val="single" w:color="000000" w:sz="4" w:space="0"/>
            </w:tcBorders>
            <w:vAlign w:val="center"/>
          </w:tcPr>
          <w:p w14:paraId="27DED7A0">
            <w:pPr>
              <w:jc w:val="center"/>
              <w:rPr>
                <w:rFonts w:hint="eastAsia" w:ascii="方正仿宋_GB2312" w:hAnsi="方正仿宋_GB2312" w:eastAsia="方正仿宋_GB2312" w:cs="方正仿宋_GB2312"/>
                <w:color w:val="000000"/>
                <w:sz w:val="24"/>
                <w:lang w:val="en-US" w:eastAsia="zh-CN"/>
              </w:rPr>
            </w:pPr>
          </w:p>
        </w:tc>
      </w:tr>
      <w:tr w14:paraId="4668CF95">
        <w:tblPrEx>
          <w:tblCellMar>
            <w:top w:w="0" w:type="dxa"/>
            <w:left w:w="108" w:type="dxa"/>
            <w:bottom w:w="0" w:type="dxa"/>
            <w:right w:w="108" w:type="dxa"/>
          </w:tblCellMar>
        </w:tblPrEx>
        <w:trPr>
          <w:trHeight w:val="683" w:hRule="atLeast"/>
        </w:trPr>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53F04">
            <w:pPr>
              <w:jc w:val="center"/>
              <w:rPr>
                <w:rFonts w:hint="default"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3</w:t>
            </w:r>
          </w:p>
        </w:tc>
        <w:tc>
          <w:tcPr>
            <w:tcW w:w="6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69DB8">
            <w:pPr>
              <w:pStyle w:val="3"/>
              <w:keepNext w:val="0"/>
              <w:keepLines w:val="0"/>
              <w:pageBreakBefore w:val="0"/>
              <w:widowControl w:val="0"/>
              <w:kinsoku/>
              <w:wordWrap/>
              <w:overflowPunct/>
              <w:topLinePunct w:val="0"/>
              <w:autoSpaceDE/>
              <w:autoSpaceDN/>
              <w:bidi w:val="0"/>
              <w:adjustRightInd/>
              <w:snapToGrid/>
              <w:spacing w:after="0" w:afterLines="0" w:line="400" w:lineRule="exact"/>
              <w:jc w:val="both"/>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在国内报纸版面刊登成都杜甫草堂博物馆宣传信息。在中央媒体国内发行的报纸刊登专题版面，展现成都杜甫草堂博物馆的文旅资源，文字及图片素材由成都杜甫草堂博物馆提供。确保刊发版面为正常阅读版面，避免中缝、报眼等非常规位置。项目周期内，在中央媒体报纸刊登专题版面不少于1/2版。文字内容不少于2000字，图片1-3张。</w:t>
            </w:r>
          </w:p>
        </w:tc>
        <w:tc>
          <w:tcPr>
            <w:tcW w:w="24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5A4E9">
            <w:pPr>
              <w:pStyle w:val="3"/>
              <w:keepNext w:val="0"/>
              <w:keepLines w:val="0"/>
              <w:pageBreakBefore w:val="0"/>
              <w:widowControl w:val="0"/>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2"/>
                <w:sz w:val="24"/>
                <w:szCs w:val="21"/>
                <w:vertAlign w:val="baseline"/>
                <w:lang w:val="en-US" w:eastAsia="zh-CN" w:bidi="ar-SA"/>
              </w:rPr>
            </w:pPr>
          </w:p>
        </w:tc>
      </w:tr>
      <w:tr w14:paraId="3A06441A">
        <w:tblPrEx>
          <w:tblCellMar>
            <w:top w:w="0" w:type="dxa"/>
            <w:left w:w="108" w:type="dxa"/>
            <w:bottom w:w="0" w:type="dxa"/>
            <w:right w:w="108" w:type="dxa"/>
          </w:tblCellMar>
        </w:tblPrEx>
        <w:trPr>
          <w:trHeight w:val="683" w:hRule="atLeast"/>
        </w:trPr>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6FF06">
            <w:pPr>
              <w:jc w:val="center"/>
              <w:rPr>
                <w:rFonts w:hint="default"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4</w:t>
            </w:r>
          </w:p>
        </w:tc>
        <w:tc>
          <w:tcPr>
            <w:tcW w:w="6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66681">
            <w:pPr>
              <w:pStyle w:val="3"/>
              <w:keepNext w:val="0"/>
              <w:keepLines w:val="0"/>
              <w:pageBreakBefore w:val="0"/>
              <w:widowControl w:val="0"/>
              <w:kinsoku/>
              <w:wordWrap/>
              <w:overflowPunct/>
              <w:topLinePunct w:val="0"/>
              <w:autoSpaceDE/>
              <w:autoSpaceDN/>
              <w:bidi w:val="0"/>
              <w:adjustRightInd/>
              <w:snapToGrid/>
              <w:spacing w:after="0" w:afterLines="0" w:line="400" w:lineRule="exact"/>
              <w:jc w:val="both"/>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在央级主流媒体视频报道成都杜甫草堂博物馆中秋国庆活动。项目周期内，策划央级媒体营销，至少进行1次新闻报道或者直播连线。</w:t>
            </w:r>
          </w:p>
        </w:tc>
        <w:tc>
          <w:tcPr>
            <w:tcW w:w="24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55674">
            <w:pPr>
              <w:pStyle w:val="3"/>
              <w:keepNext w:val="0"/>
              <w:keepLines w:val="0"/>
              <w:pageBreakBefore w:val="0"/>
              <w:widowControl w:val="0"/>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2"/>
                <w:sz w:val="24"/>
                <w:szCs w:val="21"/>
                <w:vertAlign w:val="baseline"/>
                <w:lang w:val="en-US" w:eastAsia="zh-CN" w:bidi="ar-SA"/>
              </w:rPr>
            </w:pPr>
          </w:p>
        </w:tc>
      </w:tr>
      <w:tr w14:paraId="7C459D4E">
        <w:tblPrEx>
          <w:tblCellMar>
            <w:top w:w="0" w:type="dxa"/>
            <w:left w:w="108" w:type="dxa"/>
            <w:bottom w:w="0" w:type="dxa"/>
            <w:right w:w="108" w:type="dxa"/>
          </w:tblCellMar>
        </w:tblPrEx>
        <w:trPr>
          <w:trHeight w:val="683" w:hRule="atLeast"/>
        </w:trPr>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E3CCF">
            <w:pPr>
              <w:jc w:val="center"/>
              <w:rPr>
                <w:rFonts w:hint="default"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5</w:t>
            </w:r>
          </w:p>
        </w:tc>
        <w:tc>
          <w:tcPr>
            <w:tcW w:w="6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63939">
            <w:pPr>
              <w:pStyle w:val="3"/>
              <w:keepNext w:val="0"/>
              <w:keepLines w:val="0"/>
              <w:pageBreakBefore w:val="0"/>
              <w:widowControl w:val="0"/>
              <w:kinsoku/>
              <w:wordWrap/>
              <w:overflowPunct/>
              <w:topLinePunct w:val="0"/>
              <w:autoSpaceDE/>
              <w:autoSpaceDN/>
              <w:bidi w:val="0"/>
              <w:adjustRightInd/>
              <w:snapToGrid/>
              <w:spacing w:after="0" w:afterLines="0" w:line="400" w:lineRule="exact"/>
              <w:jc w:val="both"/>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在市级媒体开展深度专题宣传。结合节点，深度挖掘成都杜甫草堂博物馆文化，发布形式为新媒体稿件，发布次数为2次，文字内容不少于1200字。图片不少于2张。</w:t>
            </w:r>
          </w:p>
        </w:tc>
        <w:tc>
          <w:tcPr>
            <w:tcW w:w="24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C1AAA">
            <w:pPr>
              <w:pStyle w:val="3"/>
              <w:keepNext w:val="0"/>
              <w:keepLines w:val="0"/>
              <w:pageBreakBefore w:val="0"/>
              <w:widowControl w:val="0"/>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2"/>
                <w:sz w:val="24"/>
                <w:szCs w:val="21"/>
                <w:vertAlign w:val="baseline"/>
                <w:lang w:val="en-US" w:eastAsia="zh-CN" w:bidi="ar-SA"/>
              </w:rPr>
            </w:pPr>
          </w:p>
        </w:tc>
      </w:tr>
      <w:tr w14:paraId="538AF45F">
        <w:tblPrEx>
          <w:tblCellMar>
            <w:top w:w="0" w:type="dxa"/>
            <w:left w:w="108" w:type="dxa"/>
            <w:bottom w:w="0" w:type="dxa"/>
            <w:right w:w="108" w:type="dxa"/>
          </w:tblCellMar>
        </w:tblPrEx>
        <w:trPr>
          <w:trHeight w:val="683" w:hRule="atLeast"/>
        </w:trPr>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9DE82">
            <w:pPr>
              <w:jc w:val="center"/>
              <w:rPr>
                <w:rFonts w:hint="default"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6</w:t>
            </w:r>
          </w:p>
        </w:tc>
        <w:tc>
          <w:tcPr>
            <w:tcW w:w="6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1BC74">
            <w:pPr>
              <w:pStyle w:val="3"/>
              <w:keepNext w:val="0"/>
              <w:keepLines w:val="0"/>
              <w:pageBreakBefore w:val="0"/>
              <w:widowControl w:val="0"/>
              <w:kinsoku/>
              <w:wordWrap/>
              <w:overflowPunct/>
              <w:topLinePunct w:val="0"/>
              <w:autoSpaceDE/>
              <w:autoSpaceDN/>
              <w:bidi w:val="0"/>
              <w:adjustRightInd/>
              <w:snapToGrid/>
              <w:spacing w:after="0" w:afterLines="0" w:line="400" w:lineRule="exact"/>
              <w:jc w:val="both"/>
              <w:textAlignment w:val="auto"/>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kern w:val="2"/>
                <w:sz w:val="24"/>
                <w:szCs w:val="24"/>
                <w:lang w:val="en-US" w:eastAsia="zh-CN" w:bidi="ar-SA"/>
              </w:rPr>
              <w:t>完成一次观众满意度调查，样本数不少于300人。</w:t>
            </w:r>
          </w:p>
        </w:tc>
        <w:tc>
          <w:tcPr>
            <w:tcW w:w="24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2AF9A">
            <w:pPr>
              <w:pStyle w:val="3"/>
              <w:keepNext w:val="0"/>
              <w:keepLines w:val="0"/>
              <w:pageBreakBefore w:val="0"/>
              <w:widowControl w:val="0"/>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2"/>
                <w:sz w:val="24"/>
                <w:szCs w:val="21"/>
                <w:vertAlign w:val="baseline"/>
                <w:lang w:val="en-US" w:eastAsia="zh-CN" w:bidi="ar-SA"/>
              </w:rPr>
            </w:pPr>
          </w:p>
        </w:tc>
      </w:tr>
      <w:tr w14:paraId="53A5948F">
        <w:tblPrEx>
          <w:tblCellMar>
            <w:top w:w="0" w:type="dxa"/>
            <w:left w:w="108" w:type="dxa"/>
            <w:bottom w:w="0" w:type="dxa"/>
            <w:right w:w="108" w:type="dxa"/>
          </w:tblCellMar>
        </w:tblPrEx>
        <w:trPr>
          <w:trHeight w:val="1103" w:hRule="atLeast"/>
        </w:trPr>
        <w:tc>
          <w:tcPr>
            <w:tcW w:w="805" w:type="dxa"/>
            <w:tcBorders>
              <w:top w:val="single" w:color="000000" w:sz="4" w:space="0"/>
              <w:left w:val="single" w:color="000000" w:sz="4" w:space="0"/>
              <w:bottom w:val="single" w:color="000000" w:sz="4" w:space="0"/>
              <w:right w:val="single" w:color="000000" w:sz="4" w:space="0"/>
            </w:tcBorders>
            <w:noWrap/>
            <w:vAlign w:val="center"/>
          </w:tcPr>
          <w:p w14:paraId="0FBB0094">
            <w:pPr>
              <w:jc w:val="center"/>
              <w:rPr>
                <w:rFonts w:hint="eastAsia" w:ascii="方正仿宋_GB2312" w:hAnsi="方正仿宋_GB2312" w:eastAsia="方正仿宋_GB2312" w:cs="方正仿宋_GB2312"/>
                <w:sz w:val="28"/>
                <w:szCs w:val="28"/>
                <w:lang w:eastAsia="zh-CN"/>
              </w:rPr>
            </w:pPr>
          </w:p>
        </w:tc>
        <w:tc>
          <w:tcPr>
            <w:tcW w:w="6522" w:type="dxa"/>
            <w:tcBorders>
              <w:top w:val="single" w:color="000000" w:sz="4" w:space="0"/>
              <w:left w:val="single" w:color="000000" w:sz="4" w:space="0"/>
              <w:bottom w:val="single" w:color="000000" w:sz="4" w:space="0"/>
              <w:right w:val="single" w:color="000000" w:sz="4" w:space="0"/>
            </w:tcBorders>
            <w:noWrap/>
            <w:vAlign w:val="center"/>
          </w:tcPr>
          <w:p w14:paraId="6B52E818">
            <w:pPr>
              <w:jc w:val="center"/>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b w:val="0"/>
                <w:bCs w:val="0"/>
                <w:sz w:val="28"/>
                <w:szCs w:val="28"/>
              </w:rPr>
              <w:t>合计</w:t>
            </w:r>
          </w:p>
        </w:tc>
        <w:tc>
          <w:tcPr>
            <w:tcW w:w="2448" w:type="dxa"/>
            <w:tcBorders>
              <w:top w:val="single" w:color="000000" w:sz="4" w:space="0"/>
              <w:left w:val="single" w:color="000000" w:sz="4" w:space="0"/>
              <w:bottom w:val="single" w:color="000000" w:sz="4" w:space="0"/>
              <w:right w:val="single" w:color="000000" w:sz="4" w:space="0"/>
            </w:tcBorders>
            <w:noWrap/>
            <w:vAlign w:val="center"/>
          </w:tcPr>
          <w:p w14:paraId="0431B1C3">
            <w:pPr>
              <w:jc w:val="center"/>
              <w:rPr>
                <w:rFonts w:ascii="方正仿宋_GB2312" w:hAnsi="方正仿宋_GB2312" w:eastAsia="方正仿宋_GB2312" w:cs="方正仿宋_GB2312"/>
                <w:sz w:val="28"/>
                <w:szCs w:val="28"/>
                <w:u w:val="single"/>
              </w:rPr>
            </w:pPr>
            <w:r>
              <w:rPr>
                <w:rFonts w:hint="eastAsia" w:ascii="方正仿宋_GB2312" w:hAnsi="方正仿宋_GB2312" w:eastAsia="方正仿宋_GB2312" w:cs="方正仿宋_GB2312"/>
                <w:sz w:val="28"/>
                <w:szCs w:val="28"/>
                <w:u w:val="single"/>
              </w:rPr>
              <w:t xml:space="preserve">       </w:t>
            </w:r>
            <w:r>
              <w:rPr>
                <w:rFonts w:hint="eastAsia" w:ascii="方正仿宋_GB2312" w:hAnsi="方正仿宋_GB2312" w:eastAsia="方正仿宋_GB2312" w:cs="方正仿宋_GB2312"/>
                <w:sz w:val="28"/>
                <w:szCs w:val="28"/>
              </w:rPr>
              <w:t>万元</w:t>
            </w:r>
          </w:p>
        </w:tc>
      </w:tr>
    </w:tbl>
    <w:p w14:paraId="052B4126">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FE2C0A4-3B80-481D-AF78-4A280D80985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ABF5846B-3046-4C79-B010-CBDC43814A75}"/>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embedRegular r:id="rId3" w:fontKey="{BCD37717-347C-4F1F-A407-4B0FD8C96D59}"/>
  </w:font>
  <w:font w:name="仿宋">
    <w:panose1 w:val="02010609060101010101"/>
    <w:charset w:val="86"/>
    <w:family w:val="modern"/>
    <w:pitch w:val="default"/>
    <w:sig w:usb0="800002BF" w:usb1="38CF7CFA" w:usb2="00000016" w:usb3="00000000" w:csb0="00040001" w:csb1="00000000"/>
    <w:embedRegular r:id="rId4" w:fontKey="{BFDAD272-FDC9-46AA-80BD-0D42B6C5F159}"/>
  </w:font>
  <w:font w:name="方正仿宋_GB2312">
    <w:panose1 w:val="02000000000000000000"/>
    <w:charset w:val="86"/>
    <w:family w:val="auto"/>
    <w:pitch w:val="default"/>
    <w:sig w:usb0="A00002BF" w:usb1="184F6CFA" w:usb2="00000012" w:usb3="00000000" w:csb0="00040001" w:csb1="00000000"/>
    <w:embedRegular r:id="rId5" w:fontKey="{226660A4-94CE-4E1A-8A7F-FB6DCDB254D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10640A"/>
    <w:rsid w:val="2B10640A"/>
    <w:rsid w:val="33AA452C"/>
    <w:rsid w:val="365179BD"/>
    <w:rsid w:val="3AB57C56"/>
    <w:rsid w:val="4F684573"/>
    <w:rsid w:val="594159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Body Text"/>
    <w:basedOn w:val="1"/>
    <w:qFormat/>
    <w:uiPriority w:val="0"/>
    <w:pPr>
      <w:spacing w:after="120" w:afterLines="0" w:afterAutospacing="0"/>
    </w:pPr>
    <w:rPr>
      <w:rFonts w:ascii="Times New Roman" w:hAnsi="Times New Roman" w:eastAsia="仿宋_GB2312" w:cs="Times New Roman"/>
      <w:sz w:val="32"/>
    </w:rPr>
  </w:style>
  <w:style w:type="paragraph" w:styleId="4">
    <w:name w:val="header"/>
    <w:basedOn w:val="1"/>
    <w:next w:val="2"/>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paragraph" w:customStyle="1" w:styleId="9">
    <w:name w:val="正文（绿盟科技）"/>
    <w:next w:val="1"/>
    <w:autoRedefine/>
    <w:qFormat/>
    <w:uiPriority w:val="0"/>
    <w:pPr>
      <w:spacing w:line="300" w:lineRule="auto"/>
    </w:pPr>
    <w:rPr>
      <w:rFonts w:ascii="Arial" w:hAnsi="Arial" w:eastAsia="宋体" w:cs="黑体"/>
      <w:sz w:val="21"/>
      <w:szCs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175</Words>
  <Characters>180</Characters>
  <Lines>0</Lines>
  <Paragraphs>0</Paragraphs>
  <TotalTime>1</TotalTime>
  <ScaleCrop>false</ScaleCrop>
  <LinksUpToDate>false</LinksUpToDate>
  <CharactersWithSpaces>198</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2026-06-30T05:01:00Z</dcterms:created>
  <dc:creator>雷lei霞</dc:creator>
  <cp:lastModifiedBy>雷lei霞</cp:lastModifiedBy>
  <dcterms:modified xsi:type="dcterms:W3CDTF">2026-08-04T01:18:45Z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41C814F97FC74C579209A6D9464F6035_13</vt:lpwstr>
  </property>
  <property fmtid="{D5CDD505-2E9C-101B-9397-08002B2CF9AE}" pid="4" name="KSOTemplateDocerSaveRecord">
    <vt:lpwstr>eyJoZGlkIjoiMGM1YmI3YWNmOWJkNTQ1OGQ1NTY4MDE1OGE3ZWM4ZjUiLCJ1c2VySWQiOiIyMDAzOTg4NyJ9</vt:lpwstr>
  </property>
</Properties>
</file>