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36D0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 w14:paraId="60D4FD5F">
      <w:pPr>
        <w:widowControl/>
        <w:suppressAutoHyphens/>
        <w:bidi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 w14:paraId="7BE0DF3B">
      <w:pPr>
        <w:widowControl/>
        <w:suppressAutoHyphens/>
        <w:bidi w:val="0"/>
        <w:spacing w:line="360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游径线上平台搭建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委托服务项目需求</w:t>
      </w:r>
    </w:p>
    <w:p w14:paraId="1B16D09D">
      <w:pPr>
        <w:widowControl/>
        <w:suppressAutoHyphens/>
        <w:bidi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 w14:paraId="04E468D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（一）需求规划费用</w:t>
      </w:r>
    </w:p>
    <w:p w14:paraId="4B0E5D8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服务内容：业务调研、场景梳理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【用户注册登录、活动报名、入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馆通道对接、游径活动成果展示、数据采集与分析、用户信息管理等】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、原型设计、需求文档、接口规范、排期。</w:t>
      </w:r>
    </w:p>
    <w:p w14:paraId="3CD7E32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测算依据：信息技术咨询服务市场价、软件需求设计国家规范。</w:t>
      </w:r>
    </w:p>
    <w:p w14:paraId="59F0DE0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（二）系统开发费用</w:t>
      </w:r>
    </w:p>
    <w:p w14:paraId="1535F2C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服务内容：小程序前端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【页面设计、备案登记协助等】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、后端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【功能与权限管理、通知推送】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、管理后台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【数据报表、用户分类管理等功能】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、数据中台对接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【包括且不限定于入馆通道的对接、AI杜甫数字人数据平台对接（开发内嵌伴游杜甫数字人小程序）等】、直播推流系统【含直录播设备，视频号等直播链接系统接入等】。</w:t>
      </w:r>
    </w:p>
    <w:p w14:paraId="1B5C600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测算依据：四川省软件研发市场价、微信小程序开发官方规范。</w:t>
      </w:r>
    </w:p>
    <w:p w14:paraId="58E04F5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（三）数据集成费用</w:t>
      </w:r>
    </w:p>
    <w:p w14:paraId="0DBA28B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服务内容：对接中台、点位数据、票务预约系统、GIS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【如果调用第三方，需标明是接入平台名称】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、用户行为数据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、数字人智能体推流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 w14:paraId="2594221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测算依据：数据接口集成服务市场价、GIS 平台对接标准。</w:t>
      </w:r>
    </w:p>
    <w:p w14:paraId="4CBD988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（四）测试部署费用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（含运行相关程序需要购置的信创服务器及网络安全设备等，也可以参考同等配置的云服务及云安全产品折算3年权限进行报价）</w:t>
      </w:r>
    </w:p>
    <w:p w14:paraId="096FE69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服务内容：功能/兼容/性能/安全/压力/联调测试。</w:t>
      </w:r>
    </w:p>
    <w:p w14:paraId="2DBE878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测算依据：软件测试服务收费标准、等保相关要求。</w:t>
      </w:r>
    </w:p>
    <w:p w14:paraId="185FC8E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（五）运维服务费用</w:t>
      </w:r>
    </w:p>
    <w:p w14:paraId="5D4ED46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服务内容：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年期7×24小时运维监控、巡检应急、版本迭代、接口保障。</w:t>
      </w:r>
    </w:p>
    <w:p w14:paraId="45FE8C1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测算依据：云服务运维市场价、系统运维服务标准。</w:t>
      </w:r>
    </w:p>
    <w:p w14:paraId="220E7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项目完成后，提交项目所有过程及成果材料的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电子版与纸质版。</w:t>
      </w:r>
    </w:p>
    <w:p w14:paraId="7424E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7615B"/>
    <w:rsid w:val="23E32EED"/>
    <w:rsid w:val="2FFCDEE7"/>
    <w:rsid w:val="413D3C14"/>
    <w:rsid w:val="4D2809E0"/>
    <w:rsid w:val="59651C4D"/>
    <w:rsid w:val="59BF05CC"/>
    <w:rsid w:val="70446085"/>
    <w:rsid w:val="762E7B1B"/>
    <w:rsid w:val="8FEFB896"/>
    <w:rsid w:val="FBFDA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624</Characters>
  <Lines>0</Lines>
  <Paragraphs>0</Paragraphs>
  <TotalTime>29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2026-05-11T19:12:00Z</dcterms:created>
  <dc:creator>dfct</dc:creator>
  <cp:lastModifiedBy>WPS_1668480118</cp:lastModifiedBy>
  <dcterms:modified xsi:type="dcterms:W3CDTF">2026-05-12T08:33:09Z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eyJoZGlkIjoiNDI5ZTMwNjU3NmZiNjNjYTRhZmMyMjk0YTA3MzU1Y2UiLCJ1c2VySWQiOiIxNDQyMjEyODY1In0=</vt:lpwstr>
  </property>
  <property fmtid="{D5CDD505-2E9C-101B-9397-08002B2CF9AE}" pid="4" name="ICV">
    <vt:lpwstr>441E0B57134581D100C9026ADDA6E89B_43</vt:lpwstr>
  </property>
</Properties>
</file>