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9AD32">
      <w:pPr>
        <w:spacing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146EADAC">
      <w:pPr>
        <w:spacing w:line="600" w:lineRule="exact"/>
        <w:jc w:val="center"/>
        <w:rPr>
          <w:rFonts w:hint="eastAsia" w:ascii="Times New Roman" w:hAnsi="Times New Roman" w:eastAsia="方正小标宋_GBK"/>
          <w:sz w:val="44"/>
          <w:szCs w:val="44"/>
          <w:lang w:val="en-US" w:eastAsia="zh-CN"/>
        </w:rPr>
      </w:pPr>
      <w:r>
        <w:rPr>
          <w:rFonts w:ascii="Times New Roman" w:hAnsi="Times New Roman" w:eastAsia="方正小标宋_GBK"/>
          <w:sz w:val="44"/>
          <w:szCs w:val="44"/>
        </w:rPr>
        <w:t>成都</w:t>
      </w:r>
      <w:r>
        <w:rPr>
          <w:rFonts w:hint="eastAsia" w:ascii="Times New Roman" w:hAnsi="Times New Roman" w:eastAsia="方正小标宋_GBK"/>
          <w:sz w:val="44"/>
          <w:szCs w:val="44"/>
          <w:lang w:eastAsia="zh-CN"/>
        </w:rPr>
        <w:t>杜甫草堂</w:t>
      </w:r>
      <w:r>
        <w:rPr>
          <w:rFonts w:ascii="Times New Roman" w:hAnsi="Times New Roman" w:eastAsia="方正小标宋_GBK"/>
          <w:sz w:val="44"/>
          <w:szCs w:val="44"/>
        </w:rPr>
        <w:t>博物馆</w:t>
      </w:r>
      <w:r>
        <w:rPr>
          <w:rFonts w:hint="eastAsia" w:ascii="Times New Roman" w:hAnsi="Times New Roman" w:eastAsia="方正小标宋_GBK"/>
          <w:sz w:val="44"/>
          <w:szCs w:val="44"/>
          <w:lang w:val="en-US" w:eastAsia="zh-CN"/>
        </w:rPr>
        <w:t>关于</w:t>
      </w:r>
      <w:r>
        <w:rPr>
          <w:rFonts w:ascii="Times New Roman" w:hAnsi="Times New Roman" w:eastAsia="方正小标宋_GBK"/>
          <w:sz w:val="44"/>
          <w:szCs w:val="44"/>
        </w:rPr>
        <w:t>旅行社、分社、导游和其他相关主体</w:t>
      </w:r>
      <w:r>
        <w:rPr>
          <w:rFonts w:hint="eastAsia" w:ascii="Times New Roman" w:hAnsi="Times New Roman" w:eastAsia="方正小标宋_GBK"/>
          <w:sz w:val="44"/>
          <w:szCs w:val="44"/>
          <w:lang w:val="en-US" w:eastAsia="zh-CN"/>
        </w:rPr>
        <w:t>的不良记录管理办法</w:t>
      </w:r>
    </w:p>
    <w:p w14:paraId="3EA43D68">
      <w:pPr>
        <w:spacing w:line="600" w:lineRule="exact"/>
        <w:jc w:val="center"/>
        <w:rPr>
          <w:rFonts w:hint="default" w:ascii="Times New Roman" w:hAnsi="Times New Roman" w:eastAsia="方正小标宋_GBK"/>
          <w:sz w:val="44"/>
          <w:szCs w:val="44"/>
          <w:lang w:val="en-US" w:eastAsia="zh-CN"/>
        </w:rPr>
      </w:pPr>
      <w:r>
        <w:rPr>
          <w:rFonts w:hint="eastAsia" w:ascii="Times New Roman" w:hAnsi="Times New Roman" w:eastAsia="方正小标宋_GBK"/>
          <w:sz w:val="44"/>
          <w:szCs w:val="44"/>
          <w:lang w:eastAsia="zh-CN"/>
        </w:rPr>
        <w:t>（</w:t>
      </w:r>
      <w:r>
        <w:rPr>
          <w:rFonts w:hint="eastAsia" w:ascii="Times New Roman" w:hAnsi="Times New Roman" w:eastAsia="方正小标宋_GBK"/>
          <w:sz w:val="44"/>
          <w:szCs w:val="44"/>
          <w:lang w:val="en-US" w:eastAsia="zh-CN"/>
        </w:rPr>
        <w:t>试行）</w:t>
      </w:r>
    </w:p>
    <w:p w14:paraId="0DFC8A35">
      <w:pPr>
        <w:spacing w:line="600" w:lineRule="exact"/>
        <w:jc w:val="center"/>
        <w:rPr>
          <w:rFonts w:ascii="Times New Roman" w:hAnsi="Times New Roman" w:eastAsia="方正仿宋_GBK"/>
          <w:sz w:val="32"/>
          <w:szCs w:val="32"/>
        </w:rPr>
      </w:pPr>
    </w:p>
    <w:p w14:paraId="0EA444D8">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一、目的</w:t>
      </w:r>
    </w:p>
    <w:p w14:paraId="456DA1F2">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为进一步</w:t>
      </w:r>
      <w:r>
        <w:rPr>
          <w:rFonts w:hint="eastAsia" w:ascii="Times New Roman" w:hAnsi="Times New Roman" w:eastAsia="方正仿宋_GBK"/>
          <w:sz w:val="32"/>
          <w:szCs w:val="32"/>
          <w:lang w:val="en-US" w:eastAsia="zh-CN"/>
        </w:rPr>
        <w:t>提升</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cs="Times New Roman"/>
          <w:i w:val="0"/>
          <w:iCs w:val="0"/>
          <w:caps w:val="0"/>
          <w:color w:val="auto"/>
          <w:spacing w:val="0"/>
          <w:sz w:val="32"/>
          <w:szCs w:val="32"/>
          <w:shd w:val="clear" w:fill="auto"/>
        </w:rPr>
        <w:t>服务质量，</w:t>
      </w:r>
      <w:r>
        <w:rPr>
          <w:rFonts w:hint="eastAsia" w:ascii="Times New Roman" w:hAnsi="Times New Roman" w:eastAsia="方正仿宋_GBK" w:cs="Times New Roman"/>
          <w:i w:val="0"/>
          <w:iCs w:val="0"/>
          <w:caps w:val="0"/>
          <w:spacing w:val="0"/>
          <w:sz w:val="32"/>
          <w:szCs w:val="32"/>
          <w:shd w:val="clear"/>
          <w:lang w:val="en-US" w:eastAsia="zh-CN"/>
        </w:rPr>
        <w:t>规范馆内运营秩序，切实</w:t>
      </w:r>
      <w:r>
        <w:rPr>
          <w:rFonts w:ascii="Times New Roman" w:hAnsi="Times New Roman" w:eastAsia="方正仿宋_GBK"/>
          <w:sz w:val="32"/>
          <w:szCs w:val="32"/>
        </w:rPr>
        <w:t>保障广大观众的合法权益，营造文明有序的参观环境，</w:t>
      </w:r>
      <w:r>
        <w:rPr>
          <w:rFonts w:hint="eastAsia" w:ascii="Times New Roman" w:hAnsi="Times New Roman" w:eastAsia="方正仿宋_GBK"/>
          <w:sz w:val="32"/>
          <w:szCs w:val="32"/>
          <w:lang w:val="en-US" w:eastAsia="zh-CN"/>
        </w:rPr>
        <w:t>根据</w:t>
      </w:r>
      <w:r>
        <w:rPr>
          <w:rFonts w:ascii="Times New Roman" w:hAnsi="Times New Roman" w:eastAsia="方正仿宋_GBK"/>
          <w:sz w:val="32"/>
          <w:szCs w:val="32"/>
        </w:rPr>
        <w:t>《中华人民共和国旅游法》《导游人员管理条例》《四川省旅游条例》《国家文物局关于进一步提升博物馆讲解服务工作水平的指导意见》等</w:t>
      </w:r>
      <w:r>
        <w:rPr>
          <w:rFonts w:hint="eastAsia" w:ascii="Times New Roman" w:hAnsi="Times New Roman" w:eastAsia="方正仿宋_GBK"/>
          <w:sz w:val="32"/>
          <w:szCs w:val="32"/>
          <w:lang w:val="en-US" w:eastAsia="zh-CN"/>
        </w:rPr>
        <w:t>法律法规及相关规定，结合</w:t>
      </w:r>
      <w:r>
        <w:rPr>
          <w:rFonts w:ascii="Times New Roman" w:hAnsi="Times New Roman" w:eastAsia="方正仿宋_GBK"/>
          <w:sz w:val="32"/>
          <w:szCs w:val="32"/>
        </w:rPr>
        <w:t>工作实际，特制定本</w:t>
      </w:r>
      <w:r>
        <w:rPr>
          <w:rFonts w:hint="eastAsia" w:ascii="Times New Roman" w:hAnsi="Times New Roman" w:eastAsia="方正仿宋_GBK"/>
          <w:sz w:val="32"/>
          <w:szCs w:val="32"/>
          <w:lang w:val="en-US" w:eastAsia="zh-CN"/>
        </w:rPr>
        <w:t>办法</w:t>
      </w:r>
      <w:r>
        <w:rPr>
          <w:rFonts w:ascii="Times New Roman" w:hAnsi="Times New Roman" w:eastAsia="方正仿宋_GBK"/>
          <w:sz w:val="32"/>
          <w:szCs w:val="32"/>
        </w:rPr>
        <w:t>。</w:t>
      </w:r>
    </w:p>
    <w:p w14:paraId="11F81A61">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二、适用范围</w:t>
      </w:r>
    </w:p>
    <w:p w14:paraId="4D62868B">
      <w:pPr>
        <w:spacing w:line="600"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本</w:t>
      </w:r>
      <w:r>
        <w:rPr>
          <w:rFonts w:hint="eastAsia" w:ascii="Times New Roman" w:hAnsi="Times New Roman" w:eastAsia="方正仿宋_GBK"/>
          <w:sz w:val="32"/>
          <w:szCs w:val="32"/>
          <w:lang w:val="en-US" w:eastAsia="zh-CN"/>
        </w:rPr>
        <w:t>办法</w:t>
      </w:r>
      <w:r>
        <w:rPr>
          <w:rFonts w:ascii="Times New Roman" w:hAnsi="Times New Roman" w:eastAsia="方正仿宋_GBK"/>
          <w:sz w:val="32"/>
          <w:szCs w:val="32"/>
        </w:rPr>
        <w:t>适用</w:t>
      </w:r>
      <w:r>
        <w:rPr>
          <w:rFonts w:hint="eastAsia" w:ascii="Times New Roman" w:hAnsi="Times New Roman" w:eastAsia="方正仿宋_GBK"/>
          <w:sz w:val="32"/>
          <w:szCs w:val="32"/>
          <w:lang w:val="en-US" w:eastAsia="zh-CN"/>
        </w:rPr>
        <w:t>于通过成都杜甫草堂博物馆票务系统订票的旅行社、分社，以及进入成都杜甫草堂博物馆内开展旅游接待、讲解等相关活动的导游及其他相关单位或个人。</w:t>
      </w:r>
    </w:p>
    <w:p w14:paraId="24949495">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三、不良记录管理</w:t>
      </w:r>
    </w:p>
    <w:p w14:paraId="079BBF1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旅行社、分社及其他相关单位或个人</w:t>
      </w:r>
      <w:r>
        <w:rPr>
          <w:rFonts w:ascii="Times New Roman" w:hAnsi="Times New Roman" w:eastAsia="方正仿宋_GBK"/>
          <w:sz w:val="32"/>
          <w:szCs w:val="32"/>
        </w:rPr>
        <w:t>有以下</w:t>
      </w:r>
      <w:r>
        <w:rPr>
          <w:rFonts w:hint="eastAsia" w:ascii="Times New Roman" w:hAnsi="Times New Roman" w:eastAsia="方正仿宋_GBK"/>
          <w:sz w:val="32"/>
          <w:szCs w:val="32"/>
          <w:lang w:val="en-US" w:eastAsia="zh-CN"/>
        </w:rPr>
        <w:t>情形</w:t>
      </w:r>
      <w:r>
        <w:rPr>
          <w:rFonts w:ascii="Times New Roman" w:hAnsi="Times New Roman" w:eastAsia="方正仿宋_GBK"/>
          <w:sz w:val="32"/>
          <w:szCs w:val="32"/>
        </w:rPr>
        <w:t>之一的，</w:t>
      </w:r>
      <w:r>
        <w:rPr>
          <w:rFonts w:hint="eastAsia" w:ascii="Times New Roman" w:hAnsi="Times New Roman" w:eastAsia="方正仿宋_GBK"/>
          <w:sz w:val="32"/>
          <w:szCs w:val="32"/>
          <w:lang w:val="en-US" w:eastAsia="zh-CN"/>
        </w:rPr>
        <w:t>将纳</w:t>
      </w:r>
      <w:r>
        <w:rPr>
          <w:rFonts w:ascii="Times New Roman" w:hAnsi="Times New Roman" w:eastAsia="方正仿宋_GBK"/>
          <w:sz w:val="32"/>
          <w:szCs w:val="32"/>
        </w:rPr>
        <w:t>入</w:t>
      </w:r>
      <w:r>
        <w:rPr>
          <w:rFonts w:hint="eastAsia" w:ascii="Times New Roman" w:hAnsi="Times New Roman" w:eastAsia="方正仿宋_GBK"/>
          <w:sz w:val="32"/>
          <w:szCs w:val="32"/>
          <w:lang w:val="en-US" w:eastAsia="zh-CN"/>
        </w:rPr>
        <w:t>成都杜甫草堂博物馆不良记录</w:t>
      </w:r>
      <w:r>
        <w:rPr>
          <w:rFonts w:ascii="Times New Roman" w:hAnsi="Times New Roman" w:eastAsia="方正仿宋_GBK"/>
          <w:sz w:val="32"/>
          <w:szCs w:val="32"/>
        </w:rPr>
        <w:t>：</w:t>
      </w:r>
    </w:p>
    <w:p w14:paraId="0B8ED934">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lang w:val="en-US" w:eastAsia="zh-CN"/>
        </w:rPr>
        <w:t>通过欺骗、伪造、变造、租借、冒用营业执照、旅行社业务经营许可证、导游证等不正当手段，获取团队门票优惠、导游门票优惠的</w:t>
      </w:r>
      <w:r>
        <w:rPr>
          <w:rFonts w:ascii="Times New Roman" w:hAnsi="Times New Roman" w:eastAsia="方正仿宋_GBK"/>
          <w:sz w:val="32"/>
          <w:szCs w:val="32"/>
        </w:rPr>
        <w:t>。</w:t>
      </w:r>
    </w:p>
    <w:p w14:paraId="5698E2B8">
      <w:pPr>
        <w:spacing w:line="600"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（二）</w:t>
      </w:r>
      <w:r>
        <w:rPr>
          <w:rFonts w:hint="eastAsia" w:ascii="Times New Roman" w:hAnsi="Times New Roman" w:eastAsia="方正仿宋_GBK"/>
          <w:sz w:val="32"/>
          <w:szCs w:val="32"/>
          <w:lang w:val="en-US" w:eastAsia="zh-CN"/>
        </w:rPr>
        <w:t>通过欺骗、伪造、变造全国旅游团队服务管理系统电子行程单或向无经营许可资质的单位及个人提供全国旅游团队服务管理系统电子行程单等不正当手段，获取团队门票优惠或导游门票优惠的。</w:t>
      </w:r>
    </w:p>
    <w:p w14:paraId="1242613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（三）未经成都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批准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擅自</w:t>
      </w:r>
      <w:r>
        <w:rPr>
          <w:rFonts w:ascii="Times New Roman" w:hAnsi="Times New Roman" w:eastAsia="方正仿宋_GBK"/>
          <w:sz w:val="32"/>
          <w:szCs w:val="32"/>
        </w:rPr>
        <w:t>在成都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内</w:t>
      </w:r>
      <w:r>
        <w:rPr>
          <w:rFonts w:ascii="Times New Roman" w:hAnsi="Times New Roman" w:eastAsia="方正仿宋_GBK"/>
          <w:sz w:val="32"/>
          <w:szCs w:val="32"/>
        </w:rPr>
        <w:t>开展营利</w:t>
      </w:r>
      <w:r>
        <w:rPr>
          <w:rFonts w:hint="eastAsia" w:ascii="Times New Roman" w:hAnsi="Times New Roman" w:eastAsia="方正仿宋_GBK"/>
          <w:sz w:val="32"/>
          <w:szCs w:val="32"/>
          <w:lang w:val="en-US" w:eastAsia="zh-CN"/>
        </w:rPr>
        <w:t>性</w:t>
      </w:r>
      <w:r>
        <w:rPr>
          <w:rFonts w:ascii="Times New Roman" w:hAnsi="Times New Roman" w:eastAsia="方正仿宋_GBK"/>
          <w:sz w:val="32"/>
          <w:szCs w:val="32"/>
        </w:rPr>
        <w:t>活动</w:t>
      </w:r>
      <w:r>
        <w:rPr>
          <w:rFonts w:hint="eastAsia" w:ascii="Times New Roman" w:hAnsi="Times New Roman" w:eastAsia="方正仿宋_GBK"/>
          <w:sz w:val="32"/>
          <w:szCs w:val="32"/>
          <w:lang w:val="en-US" w:eastAsia="zh-CN"/>
        </w:rPr>
        <w:t>或实施</w:t>
      </w:r>
      <w:r>
        <w:rPr>
          <w:rFonts w:ascii="Times New Roman" w:hAnsi="Times New Roman" w:eastAsia="方正仿宋_GBK"/>
          <w:sz w:val="32"/>
          <w:szCs w:val="32"/>
        </w:rPr>
        <w:t>其他影响、干扰成都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博物馆公共场所秩序</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妨碍公共安全、损毁文物及公共设施的行为</w:t>
      </w:r>
      <w:r>
        <w:rPr>
          <w:rFonts w:ascii="Times New Roman" w:hAnsi="Times New Roman" w:eastAsia="方正仿宋_GBK"/>
          <w:sz w:val="32"/>
          <w:szCs w:val="32"/>
        </w:rPr>
        <w:t>。</w:t>
      </w:r>
    </w:p>
    <w:p w14:paraId="53CDAEF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w:t>
      </w:r>
      <w:r>
        <w:rPr>
          <w:rFonts w:hint="eastAsia" w:ascii="Times New Roman" w:hAnsi="Times New Roman" w:eastAsia="方正仿宋_GBK"/>
          <w:sz w:val="32"/>
          <w:szCs w:val="32"/>
          <w:lang w:val="en-US" w:eastAsia="zh-CN"/>
        </w:rPr>
        <w:t>未经</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授权，擅自以“</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”的</w:t>
      </w:r>
      <w:r>
        <w:rPr>
          <w:rFonts w:ascii="Times New Roman" w:hAnsi="Times New Roman" w:eastAsia="方正仿宋_GBK"/>
          <w:sz w:val="32"/>
          <w:szCs w:val="32"/>
        </w:rPr>
        <w:t>名义</w:t>
      </w:r>
      <w:r>
        <w:rPr>
          <w:rFonts w:hint="eastAsia" w:ascii="Times New Roman" w:hAnsi="Times New Roman" w:eastAsia="方正仿宋_GBK"/>
          <w:sz w:val="32"/>
          <w:szCs w:val="32"/>
          <w:lang w:val="en-US" w:eastAsia="zh-CN"/>
        </w:rPr>
        <w:t>开展宣传、招徕</w:t>
      </w:r>
      <w:r>
        <w:rPr>
          <w:rFonts w:ascii="Times New Roman" w:hAnsi="Times New Roman" w:eastAsia="方正仿宋_GBK"/>
          <w:sz w:val="32"/>
          <w:szCs w:val="32"/>
        </w:rPr>
        <w:t>、组团、</w:t>
      </w:r>
      <w:r>
        <w:rPr>
          <w:rFonts w:hint="eastAsia" w:ascii="Times New Roman" w:hAnsi="Times New Roman" w:eastAsia="方正仿宋_GBK"/>
          <w:sz w:val="32"/>
          <w:szCs w:val="32"/>
          <w:lang w:val="en-US" w:eastAsia="zh-CN"/>
        </w:rPr>
        <w:t>讲解等</w:t>
      </w:r>
      <w:r>
        <w:rPr>
          <w:rFonts w:ascii="Times New Roman" w:hAnsi="Times New Roman" w:eastAsia="方正仿宋_GBK"/>
          <w:sz w:val="32"/>
          <w:szCs w:val="32"/>
        </w:rPr>
        <w:t>营利</w:t>
      </w:r>
      <w:r>
        <w:rPr>
          <w:rFonts w:hint="eastAsia" w:ascii="Times New Roman" w:hAnsi="Times New Roman" w:eastAsia="方正仿宋_GBK"/>
          <w:sz w:val="32"/>
          <w:szCs w:val="32"/>
          <w:lang w:val="en-US" w:eastAsia="zh-CN"/>
        </w:rPr>
        <w:t>性</w:t>
      </w:r>
      <w:r>
        <w:rPr>
          <w:rFonts w:ascii="Times New Roman" w:hAnsi="Times New Roman" w:eastAsia="方正仿宋_GBK"/>
          <w:sz w:val="32"/>
          <w:szCs w:val="32"/>
        </w:rPr>
        <w:t>活动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或实施</w:t>
      </w:r>
      <w:r>
        <w:rPr>
          <w:rFonts w:ascii="Times New Roman" w:hAnsi="Times New Roman" w:eastAsia="方正仿宋_GBK"/>
          <w:sz w:val="32"/>
          <w:szCs w:val="32"/>
        </w:rPr>
        <w:t>其他影响、干扰成都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博物馆公共场所秩序</w:t>
      </w:r>
      <w:r>
        <w:rPr>
          <w:rFonts w:hint="eastAsia" w:ascii="Times New Roman" w:hAnsi="Times New Roman" w:eastAsia="方正仿宋_GBK"/>
          <w:sz w:val="32"/>
          <w:szCs w:val="32"/>
          <w:lang w:val="en-US" w:eastAsia="zh-CN"/>
        </w:rPr>
        <w:t>的行为</w:t>
      </w:r>
      <w:r>
        <w:rPr>
          <w:rFonts w:ascii="Times New Roman" w:hAnsi="Times New Roman" w:eastAsia="方正仿宋_GBK"/>
          <w:sz w:val="32"/>
          <w:szCs w:val="32"/>
        </w:rPr>
        <w:t>。</w:t>
      </w:r>
    </w:p>
    <w:p w14:paraId="58D71CF0">
      <w:pPr>
        <w:spacing w:line="60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五）讲解内容存在歪曲史实、戏说历史，或因不当表述扰乱参观秩序的行为。</w:t>
      </w:r>
    </w:p>
    <w:p w14:paraId="36804970">
      <w:pPr>
        <w:spacing w:line="600" w:lineRule="exact"/>
        <w:ind w:firstLine="640" w:firstLineChars="200"/>
        <w:rPr>
          <w:rFonts w:hint="default" w:eastAsia="方正仿宋_GBK"/>
          <w:sz w:val="32"/>
          <w:szCs w:val="32"/>
          <w:lang w:val="en-US" w:eastAsia="zh-CN"/>
        </w:rPr>
      </w:pPr>
      <w:r>
        <w:rPr>
          <w:rFonts w:hint="eastAsia" w:eastAsia="方正仿宋_GBK"/>
          <w:sz w:val="32"/>
          <w:szCs w:val="32"/>
        </w:rPr>
        <w:t>（六）</w:t>
      </w:r>
      <w:r>
        <w:rPr>
          <w:rFonts w:hint="eastAsia" w:eastAsia="方正仿宋_GBK"/>
          <w:sz w:val="32"/>
          <w:szCs w:val="32"/>
          <w:lang w:val="en-US" w:eastAsia="zh-CN"/>
        </w:rPr>
        <w:t>存在恶意囤票、倒票，或使用同一证件多次重复预约团队门票等扰乱票务秩序的行为。</w:t>
      </w:r>
    </w:p>
    <w:p w14:paraId="6063B396">
      <w:pPr>
        <w:spacing w:line="600"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w:t>
      </w:r>
      <w:r>
        <w:rPr>
          <w:rFonts w:hint="eastAsia" w:eastAsia="方正仿宋_GBK"/>
          <w:sz w:val="32"/>
          <w:szCs w:val="32"/>
          <w:lang w:val="en-US" w:eastAsia="zh-CN"/>
        </w:rPr>
        <w:t>七</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在成都杜甫草堂博物馆内，提供法律、行政法规、规章明确禁止的各类服务。</w:t>
      </w:r>
    </w:p>
    <w:p w14:paraId="66B02C5F">
      <w:pPr>
        <w:spacing w:line="60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（八）其他应当纳入不良记录的行为。</w:t>
      </w:r>
    </w:p>
    <w:p w14:paraId="280CB521">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四、不良记录纳入程序</w:t>
      </w:r>
    </w:p>
    <w:p w14:paraId="0BB7A6C0">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（一）信息收集</w:t>
      </w:r>
    </w:p>
    <w:p w14:paraId="5DEFBBF5">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由成都杜甫草堂博物馆通过现场记录、音视频、照片、观</w:t>
      </w:r>
      <w:r>
        <w:rPr>
          <w:rFonts w:hint="eastAsia" w:ascii="Times New Roman" w:hAnsi="Times New Roman" w:eastAsia="方正仿宋_GBK"/>
          <w:spacing w:val="-6"/>
          <w:sz w:val="32"/>
          <w:szCs w:val="32"/>
          <w:lang w:val="en-US" w:eastAsia="zh-CN"/>
        </w:rPr>
        <w:t>众投诉材料等途径，发现并固定涉嫌违规行为的相关事实及证据。</w:t>
      </w:r>
    </w:p>
    <w:p w14:paraId="0DAF0B6D">
      <w:pPr>
        <w:numPr>
          <w:ilvl w:val="-1"/>
          <w:numId w:val="0"/>
        </w:num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（二）审核复核</w:t>
      </w:r>
    </w:p>
    <w:p w14:paraId="1DB52B6D">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拟纳入不良记录的主体，成都杜甫草堂博物馆应提前以书面或电子邮件方式告知。当事人自收到告知之日起3个工作日内，可向成都杜甫草堂博物馆提交书面陈述、申辩及相关证明材料。成都杜甫草堂博物馆应在5个工作日内予以复核及答复。陈述、申辩理由成立的，不予纳入不良记录；证据确凿、事实清楚的，将纳入不良记录。</w:t>
      </w:r>
    </w:p>
    <w:p w14:paraId="154136E3">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（三）对外发布</w:t>
      </w:r>
    </w:p>
    <w:p w14:paraId="3308A989">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成都杜甫草堂博物馆将适时通过博物馆官网、官方微信服务号等渠道，向社会发布不良记录相关情况。</w:t>
      </w:r>
    </w:p>
    <w:p w14:paraId="1B5755A4">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五、惩戒措施</w:t>
      </w:r>
    </w:p>
    <w:p w14:paraId="4DE0EDF5">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一）旅行社、分社被列入不良记录期间，暂停其使用已注册账号预约购买成都杜甫草堂博物馆团队门票，并暂停其享受相关优惠政策。导游或其他个人被列入不良记录期间，暂停其使用个人证件办理成都杜甫草堂博物馆票务业务。</w:t>
      </w:r>
    </w:p>
    <w:p w14:paraId="557382B0">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（二）对涉嫌违法的，线索移交公安机关或文化执法机构依法处理。</w:t>
      </w:r>
    </w:p>
    <w:p w14:paraId="4FB4B027">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（三）对因违法违规行为造成经济损失或名誉损害的，依法追究相应赔偿责任。</w:t>
      </w:r>
    </w:p>
    <w:p w14:paraId="7C5FC834">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六、惩戒期限</w:t>
      </w:r>
    </w:p>
    <w:p w14:paraId="44637B1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（一）旅行社、分社。第一次为1个月，第二次为6个月，第三次及以上为1年。</w:t>
      </w:r>
    </w:p>
    <w:p w14:paraId="21698E49">
      <w:pPr>
        <w:numPr>
          <w:ilvl w:val="-1"/>
          <w:numId w:val="0"/>
        </w:num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（二）导游及其他个人。第一次为1个月，第二次为6个月，第三次及以上为1年。</w:t>
      </w:r>
    </w:p>
    <w:p w14:paraId="2ACB34A3">
      <w:pPr>
        <w:numPr>
          <w:ilvl w:val="-1"/>
          <w:numId w:val="0"/>
        </w:numPr>
        <w:spacing w:line="600" w:lineRule="exact"/>
        <w:ind w:firstLine="640" w:firstLineChars="200"/>
        <w:rPr>
          <w:rFonts w:hint="default" w:ascii="Times New Roman" w:hAnsi="Times New Roman" w:eastAsia="方正仿宋_GBK"/>
          <w:sz w:val="32"/>
          <w:szCs w:val="32"/>
          <w:lang w:val="en-US" w:eastAsia="zh-CN"/>
        </w:rPr>
      </w:pPr>
      <w:r>
        <w:rPr>
          <w:rFonts w:hint="eastAsia" w:ascii="方正仿宋_GBK" w:hAnsi="方正仿宋_GBK" w:eastAsia="方正仿宋_GBK" w:cs="方正仿宋_GBK"/>
          <w:sz w:val="32"/>
          <w:szCs w:val="32"/>
          <w:lang w:val="en-US" w:eastAsia="zh-CN"/>
        </w:rPr>
        <w:t>（三）惩戒期限自认定之日起计算。期限届满后，被列入不良记录的主体自动恢复相关购票及优惠政</w:t>
      </w:r>
      <w:r>
        <w:rPr>
          <w:rFonts w:hint="eastAsia" w:ascii="Times New Roman" w:hAnsi="Times New Roman" w:eastAsia="方正仿宋_GBK"/>
          <w:sz w:val="32"/>
          <w:szCs w:val="32"/>
          <w:lang w:val="en-US" w:eastAsia="zh-CN"/>
        </w:rPr>
        <w:t>策使用资格；法律法规或上级主管部门另有规定的，从其规定。</w:t>
      </w:r>
    </w:p>
    <w:p w14:paraId="74859CCF">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附则</w:t>
      </w:r>
    </w:p>
    <w:p w14:paraId="27C99DE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办法由成都杜甫草堂博物馆负责解释。</w:t>
      </w:r>
    </w:p>
    <w:p w14:paraId="5FE135C8">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（二）本办法自2026年3月5日起施行，原有相关办法</w:t>
      </w:r>
      <w:r>
        <w:rPr>
          <w:rFonts w:hint="eastAsia" w:ascii="方正仿宋_GBK" w:hAnsi="方正仿宋_GBK" w:eastAsia="方正仿宋_GBK" w:cs="方正仿宋_GBK"/>
          <w:sz w:val="32"/>
          <w:szCs w:val="32"/>
        </w:rPr>
        <w:t>、规定等与本</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rPr>
        <w:t>不一致的，以本</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rPr>
        <w:t>为准。</w:t>
      </w:r>
    </w:p>
    <w:p w14:paraId="4A1F09D2">
      <w:pPr>
        <w:spacing w:line="600" w:lineRule="exact"/>
        <w:ind w:firstLine="640" w:firstLineChars="200"/>
        <w:rPr>
          <w:rFonts w:ascii="Times New Roman" w:hAnsi="Times New Roman" w:eastAsia="方正仿宋_GBK"/>
          <w:sz w:val="32"/>
          <w:szCs w:val="32"/>
        </w:rPr>
      </w:pPr>
    </w:p>
    <w:p w14:paraId="31C69AF1">
      <w:pPr>
        <w:spacing w:line="600" w:lineRule="exact"/>
        <w:ind w:firstLine="640" w:firstLineChars="200"/>
        <w:rPr>
          <w:rFonts w:ascii="Times New Roman" w:hAnsi="Times New Roman" w:eastAsia="方正仿宋_GBK"/>
          <w:sz w:val="32"/>
          <w:szCs w:val="32"/>
        </w:rPr>
      </w:pPr>
    </w:p>
    <w:p w14:paraId="0F610A85">
      <w:pPr>
        <w:spacing w:line="600" w:lineRule="exact"/>
        <w:ind w:firstLine="4480" w:firstLineChars="14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成都杜甫草堂博物馆</w:t>
      </w:r>
    </w:p>
    <w:p w14:paraId="79ED51F0">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2026年2月11日</w:t>
      </w:r>
    </w:p>
    <w:p w14:paraId="075EBDB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p>
    <w:p w14:paraId="3CBB0693"/>
    <w:p w14:paraId="6AC20D58">
      <w:pPr>
        <w:spacing w:line="600" w:lineRule="exact"/>
        <w:ind w:firstLine="640" w:firstLineChars="200"/>
        <w:rPr>
          <w:rFonts w:ascii="Times New Roman" w:hAnsi="Times New Roman" w:eastAsia="方正仿宋_GBK"/>
          <w:sz w:val="32"/>
          <w:szCs w:val="32"/>
        </w:rPr>
      </w:pPr>
    </w:p>
    <w:p w14:paraId="281D3708">
      <w:pPr>
        <w:spacing w:line="600" w:lineRule="exact"/>
        <w:ind w:firstLine="640" w:firstLineChars="200"/>
        <w:rPr>
          <w:rFonts w:ascii="Times New Roman" w:hAnsi="Times New Roman" w:eastAsia="方正仿宋_GBK"/>
          <w:sz w:val="32"/>
          <w:szCs w:val="32"/>
        </w:rPr>
      </w:pPr>
    </w:p>
    <w:p w14:paraId="77728DB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p>
    <w:p w14:paraId="1CD4CF61"/>
    <w:p w14:paraId="1A6AB019">
      <w:pPr>
        <w:rPr>
          <w:rFonts w:hint="eastAsia" w:ascii="方正仿宋_GBK" w:hAnsi="方正仿宋_GBK" w:eastAsia="方正仿宋_GBK" w:cs="方正仿宋_GBK"/>
          <w:kern w:val="2"/>
          <w:sz w:val="32"/>
          <w:szCs w:val="32"/>
          <w:lang w:val="en-US" w:eastAsia="zh-CN" w:bidi="ar"/>
        </w:rPr>
      </w:pPr>
    </w:p>
    <w:p w14:paraId="5BB9D11D">
      <w:pPr>
        <w:rPr>
          <w:rFonts w:hint="eastAsia" w:ascii="方正仿宋_GBK" w:hAnsi="方正仿宋_GBK" w:eastAsia="方正仿宋_GBK" w:cs="方正仿宋_GBK"/>
          <w:kern w:val="2"/>
          <w:sz w:val="32"/>
          <w:szCs w:val="32"/>
          <w:lang w:val="en-US" w:eastAsia="zh-CN" w:bidi="ar"/>
        </w:rPr>
      </w:pPr>
    </w:p>
    <w:p w14:paraId="7549539B">
      <w:pPr>
        <w:rPr>
          <w:rFonts w:hint="eastAsia" w:ascii="方正仿宋_GBK" w:hAnsi="方正仿宋_GBK" w:eastAsia="方正仿宋_GBK" w:cs="方正仿宋_GBK"/>
          <w:kern w:val="2"/>
          <w:sz w:val="32"/>
          <w:szCs w:val="32"/>
          <w:lang w:val="en-US" w:eastAsia="zh-CN" w:bidi="ar"/>
        </w:rPr>
      </w:pPr>
    </w:p>
    <w:p w14:paraId="69411015">
      <w:pPr>
        <w:rPr>
          <w:rFonts w:hint="eastAsia" w:ascii="方正仿宋_GBK" w:hAnsi="方正仿宋_GBK" w:eastAsia="方正仿宋_GBK" w:cs="方正仿宋_GBK"/>
          <w:kern w:val="2"/>
          <w:sz w:val="32"/>
          <w:szCs w:val="32"/>
          <w:lang w:val="en-US" w:eastAsia="zh-CN" w:bidi="ar"/>
        </w:rPr>
      </w:pPr>
    </w:p>
    <w:p w14:paraId="03A626EA">
      <w:pPr>
        <w:rPr>
          <w:rFonts w:hint="eastAsia" w:ascii="方正仿宋_GBK" w:hAnsi="方正仿宋_GBK" w:eastAsia="方正仿宋_GBK" w:cs="方正仿宋_GBK"/>
          <w:kern w:val="2"/>
          <w:sz w:val="32"/>
          <w:szCs w:val="32"/>
          <w:lang w:val="en-US" w:eastAsia="zh-CN" w:bidi="ar"/>
        </w:rPr>
      </w:pPr>
    </w:p>
    <w:p w14:paraId="12C818D7">
      <w:pPr>
        <w:ind w:firstLine="0"/>
        <w:jc w:val="left"/>
        <w:rPr>
          <w:rFonts w:asciiTheme="minorHAnsi" w:hAnsiTheme="minorHAnsi" w:eastAsiaTheme="minorEastAsia" w:cstheme="minorBidi"/>
          <w:kern w:val="2"/>
          <w:sz w:val="21"/>
          <w:szCs w:val="24"/>
          <w:lang w:val="en-US" w:eastAsia="zh-CN" w:bidi="ar-SA"/>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1CFA5D9D-A363-4A81-93B4-36BA3ABEFC15}"/>
  </w:font>
  <w:font w:name="方正小标宋_GBK">
    <w:panose1 w:val="03000509000000000000"/>
    <w:charset w:val="86"/>
    <w:family w:val="script"/>
    <w:pitch w:val="default"/>
    <w:sig w:usb0="00000001" w:usb1="080E0000" w:usb2="00000000" w:usb3="00000000" w:csb0="00040000" w:csb1="00000000"/>
    <w:embedRegular r:id="rId2" w:fontKey="{900F2FFD-0E3D-498F-985D-A134EFD5E9C7}"/>
  </w:font>
  <w:font w:name="方正仿宋_GBK">
    <w:panose1 w:val="03000509000000000000"/>
    <w:charset w:val="86"/>
    <w:family w:val="auto"/>
    <w:pitch w:val="default"/>
    <w:sig w:usb0="00000001" w:usb1="080E0000" w:usb2="00000000" w:usb3="00000000" w:csb0="00040000" w:csb1="00000000"/>
    <w:embedRegular r:id="rId3" w:fontKey="{F0D030C3-9A88-4346-B3BE-195173390793}"/>
  </w:font>
  <w:font w:name="方正黑体_GBK">
    <w:panose1 w:val="03000509000000000000"/>
    <w:charset w:val="86"/>
    <w:family w:val="auto"/>
    <w:pitch w:val="default"/>
    <w:sig w:usb0="00000001" w:usb1="080E0000" w:usb2="00000000" w:usb3="00000000" w:csb0="00040000" w:csb1="00000000"/>
    <w:embedRegular r:id="rId4" w:fontKey="{51E15E61-6A9F-4BD1-B100-76BEBE63D78F}"/>
  </w:font>
  <w:font w:name="方正楷体_GBK">
    <w:panose1 w:val="03000509000000000000"/>
    <w:charset w:val="86"/>
    <w:family w:val="auto"/>
    <w:pitch w:val="default"/>
    <w:sig w:usb0="00000001" w:usb1="080E0000" w:usb2="00000000" w:usb3="00000000" w:csb0="00040000" w:csb1="00000000"/>
    <w:embedRegular r:id="rId5" w:fontKey="{2922F511-B682-4323-9321-0617E582C74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50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FDF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0FDF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046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63865"/>
    <w:rsid w:val="03FB03BA"/>
    <w:rsid w:val="044E0E32"/>
    <w:rsid w:val="04EB48D3"/>
    <w:rsid w:val="0B2A5C60"/>
    <w:rsid w:val="0E5139F9"/>
    <w:rsid w:val="0FD50659"/>
    <w:rsid w:val="10994EC9"/>
    <w:rsid w:val="1324792E"/>
    <w:rsid w:val="150B2214"/>
    <w:rsid w:val="1740285C"/>
    <w:rsid w:val="1BF72E7D"/>
    <w:rsid w:val="1F5E6724"/>
    <w:rsid w:val="1F6B68E4"/>
    <w:rsid w:val="1F974FE3"/>
    <w:rsid w:val="20634876"/>
    <w:rsid w:val="235843F9"/>
    <w:rsid w:val="23B217B2"/>
    <w:rsid w:val="24AD7057"/>
    <w:rsid w:val="297B3BC8"/>
    <w:rsid w:val="2CF75313"/>
    <w:rsid w:val="2F9C6646"/>
    <w:rsid w:val="302428C3"/>
    <w:rsid w:val="327A1C30"/>
    <w:rsid w:val="331A7FAD"/>
    <w:rsid w:val="33615BDC"/>
    <w:rsid w:val="34627E5E"/>
    <w:rsid w:val="358362DE"/>
    <w:rsid w:val="35944047"/>
    <w:rsid w:val="38DE55D9"/>
    <w:rsid w:val="3A366C90"/>
    <w:rsid w:val="3E463865"/>
    <w:rsid w:val="3F92745C"/>
    <w:rsid w:val="423A5F76"/>
    <w:rsid w:val="450F17A9"/>
    <w:rsid w:val="49023DF0"/>
    <w:rsid w:val="4CD55AB9"/>
    <w:rsid w:val="4E50554E"/>
    <w:rsid w:val="4FCB641A"/>
    <w:rsid w:val="50642410"/>
    <w:rsid w:val="525210BA"/>
    <w:rsid w:val="55436A98"/>
    <w:rsid w:val="56130C27"/>
    <w:rsid w:val="567964B8"/>
    <w:rsid w:val="5B13347C"/>
    <w:rsid w:val="5C875E04"/>
    <w:rsid w:val="5FC54840"/>
    <w:rsid w:val="619743F4"/>
    <w:rsid w:val="65CE6852"/>
    <w:rsid w:val="680249A5"/>
    <w:rsid w:val="69206FCC"/>
    <w:rsid w:val="6A260A0B"/>
    <w:rsid w:val="6AB204F0"/>
    <w:rsid w:val="70831872"/>
    <w:rsid w:val="714C1F88"/>
    <w:rsid w:val="76C07AF1"/>
    <w:rsid w:val="770F15CA"/>
    <w:rsid w:val="771D50DB"/>
    <w:rsid w:val="7EBC14E6"/>
    <w:rsid w:val="7EDD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4032</Words>
  <Characters>4092</Characters>
  <Lines>0</Lines>
  <Paragraphs>0</Paragraphs>
  <TotalTime>1</TotalTime>
  <ScaleCrop>false</ScaleCrop>
  <LinksUpToDate>false</LinksUpToDate>
  <CharactersWithSpaces>4237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2026-02-02T01:55:00Z</dcterms:created>
  <dc:creator>微信用户</dc:creator>
  <cp:lastModifiedBy>Emily</cp:lastModifiedBy>
  <cp:lastPrinted>2026-02-10T02:17:00Z</cp:lastPrinted>
  <dcterms:modified xsi:type="dcterms:W3CDTF">2026-02-13T06:34:36Z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2922BCD30A274F7DBACA2F59C78F20A7_13</vt:lpwstr>
  </property>
  <property fmtid="{D5CDD505-2E9C-101B-9397-08002B2CF9AE}" pid="4" name="KSOTemplateDocerSaveRecord">
    <vt:lpwstr>eyJoZGlkIjoiZWJlMmRkMWQ1MGYwNWZiY2E3NzU1MmE3ZmIyYWJlNTQiLCJ1c2VySWQiOiI0NTAyMjQ2MTQifQ==</vt:lpwstr>
  </property>
</Properties>
</file>